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D940" w14:textId="4F6D7CEC" w:rsidR="00AF01BC" w:rsidRDefault="00AF01BC" w:rsidP="00AF01BC">
      <w:pPr>
        <w:ind w:left="7200"/>
        <w:rPr>
          <w:b/>
          <w:color w:val="808080" w:themeColor="background1" w:themeShade="80"/>
          <w:sz w:val="36"/>
        </w:rPr>
      </w:pPr>
      <w:r>
        <w:rPr>
          <w:b/>
          <w:color w:val="808080" w:themeColor="background1" w:themeShade="80"/>
          <w:sz w:val="36"/>
        </w:rPr>
        <w:t xml:space="preserve">     </w:t>
      </w:r>
      <w:r w:rsidRPr="00AF01BC">
        <w:rPr>
          <w:b/>
          <w:color w:val="808080" w:themeColor="background1" w:themeShade="80"/>
          <w:sz w:val="36"/>
        </w:rPr>
        <w:drawing>
          <wp:inline distT="0" distB="0" distL="0" distR="0" wp14:anchorId="063B7C98" wp14:editId="365E44D9">
            <wp:extent cx="2115640" cy="393700"/>
            <wp:effectExtent l="0" t="0" r="5715" b="0"/>
            <wp:docPr id="84951911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19112" name="Picture 1" descr="A blue background with white text&#10;&#10;Description automatically generated">
                      <a:hlinkClick r:id="rId11"/>
                    </pic:cNvPr>
                    <pic:cNvPicPr/>
                  </pic:nvPicPr>
                  <pic:blipFill>
                    <a:blip r:embed="rId12"/>
                    <a:stretch>
                      <a:fillRect/>
                    </a:stretch>
                  </pic:blipFill>
                  <pic:spPr>
                    <a:xfrm>
                      <a:off x="0" y="0"/>
                      <a:ext cx="2132572" cy="396851"/>
                    </a:xfrm>
                    <a:prstGeom prst="rect">
                      <a:avLst/>
                    </a:prstGeom>
                  </pic:spPr>
                </pic:pic>
              </a:graphicData>
            </a:graphic>
          </wp:inline>
        </w:drawing>
      </w:r>
    </w:p>
    <w:p w14:paraId="678F584E" w14:textId="346A8AF0" w:rsidR="00103ACA" w:rsidRDefault="00103ACA" w:rsidP="00490097">
      <w:pPr>
        <w:rPr>
          <w:b/>
          <w:color w:val="808080" w:themeColor="background1" w:themeShade="80"/>
          <w:sz w:val="36"/>
        </w:rPr>
      </w:pPr>
      <w:r>
        <w:rPr>
          <w:b/>
          <w:color w:val="808080" w:themeColor="background1" w:themeShade="80"/>
          <w:sz w:val="36"/>
        </w:rPr>
        <w:t xml:space="preserve">ÉVALUATION DES VENDEURS ET DES FOURNISSEURS </w:t>
      </w:r>
    </w:p>
    <w:p w14:paraId="013B84F4" w14:textId="77777777" w:rsidR="008D55D1" w:rsidRPr="00DA44C1" w:rsidRDefault="00103ACA" w:rsidP="00490097">
      <w:pPr>
        <w:rPr>
          <w:sz w:val="18"/>
          <w:szCs w:val="18"/>
        </w:rPr>
      </w:pPr>
      <w:r>
        <w:rPr>
          <w:b/>
          <w:color w:val="808080" w:themeColor="background1" w:themeShade="80"/>
          <w:sz w:val="36"/>
        </w:rPr>
        <w:t>LISTE DE CONTRÔLE DES CRITÈRES</w:t>
      </w:r>
    </w:p>
    <w:p w14:paraId="6368253C" w14:textId="77777777" w:rsidR="00103ACA" w:rsidRDefault="00103ACA"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03ACA" w:rsidRPr="00103ACA" w14:paraId="3B289172" w14:textId="77777777" w:rsidTr="00103ACA">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2D69492A" w14:textId="77777777" w:rsidR="00103ACA" w:rsidRPr="00103ACA" w:rsidRDefault="00103ACA" w:rsidP="001935CE">
            <w:pPr>
              <w:ind w:hanging="109"/>
              <w:rPr>
                <w:color w:val="000000"/>
                <w:sz w:val="30"/>
                <w:szCs w:val="30"/>
              </w:rPr>
            </w:pPr>
            <w:r>
              <w:rPr>
                <w:color w:val="000000"/>
                <w:sz w:val="30"/>
              </w:rPr>
              <w:t>COMPÉTENCE</w:t>
            </w:r>
          </w:p>
        </w:tc>
      </w:tr>
      <w:tr w:rsidR="00103ACA" w:rsidRPr="00103ACA" w14:paraId="6BE273C8" w14:textId="77777777" w:rsidTr="00103ACA">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E609D4E" w14:textId="77777777" w:rsidR="00103ACA" w:rsidRPr="00103ACA" w:rsidRDefault="00103ACA" w:rsidP="00103ACA">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7B7F7979" w14:textId="77777777" w:rsidR="00103ACA" w:rsidRPr="00103ACA" w:rsidRDefault="00103ACA" w:rsidP="00103ACA">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64640360" w14:textId="77777777" w:rsidR="00103ACA" w:rsidRPr="00103ACA" w:rsidRDefault="00103ACA" w:rsidP="00103ACA">
            <w:pPr>
              <w:rPr>
                <w:b/>
                <w:bCs/>
                <w:color w:val="000000"/>
                <w:szCs w:val="20"/>
              </w:rPr>
            </w:pPr>
            <w:r>
              <w:rPr>
                <w:b/>
                <w:color w:val="000000"/>
              </w:rPr>
              <w:t>ACTION</w:t>
            </w:r>
          </w:p>
        </w:tc>
      </w:tr>
      <w:tr w:rsidR="00103ACA" w:rsidRPr="00103ACA" w14:paraId="53115A08"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980ADCC"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8986BC4" w14:textId="77777777" w:rsidR="00103ACA" w:rsidRPr="00103ACA" w:rsidRDefault="00103ACA" w:rsidP="00103ACA">
            <w:pPr>
              <w:rPr>
                <w:b/>
                <w:bCs/>
                <w:color w:val="000000"/>
                <w:sz w:val="22"/>
                <w:szCs w:val="22"/>
              </w:rPr>
            </w:pPr>
            <w:r>
              <w:rPr>
                <w:b/>
                <w:color w:val="000000"/>
                <w:sz w:val="22"/>
              </w:rPr>
              <w:t>Expérience</w:t>
            </w:r>
          </w:p>
        </w:tc>
        <w:tc>
          <w:tcPr>
            <w:tcW w:w="7180" w:type="dxa"/>
            <w:tcBorders>
              <w:top w:val="nil"/>
              <w:left w:val="nil"/>
              <w:bottom w:val="single" w:sz="4" w:space="0" w:color="BFBFBF"/>
              <w:right w:val="single" w:sz="4" w:space="0" w:color="BFBFBF"/>
            </w:tcBorders>
            <w:shd w:val="clear" w:color="auto" w:fill="auto"/>
            <w:vAlign w:val="center"/>
            <w:hideMark/>
          </w:tcPr>
          <w:p w14:paraId="5A6AECF5" w14:textId="77777777" w:rsidR="00103ACA" w:rsidRPr="00103ACA" w:rsidRDefault="00103ACA" w:rsidP="00103ACA">
            <w:pPr>
              <w:rPr>
                <w:color w:val="000000"/>
                <w:szCs w:val="20"/>
              </w:rPr>
            </w:pPr>
            <w:r>
              <w:rPr>
                <w:color w:val="000000"/>
              </w:rPr>
              <w:t>Demandez une vérification et un bref historique des années d’activité de l’entreprise.</w:t>
            </w:r>
          </w:p>
        </w:tc>
      </w:tr>
      <w:tr w:rsidR="00103ACA" w:rsidRPr="00103ACA" w14:paraId="3CF303FC"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BB7B561"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1B6273A" w14:textId="77777777" w:rsidR="00103ACA" w:rsidRPr="00103ACA" w:rsidRDefault="00103ACA" w:rsidP="00103ACA">
            <w:pPr>
              <w:rPr>
                <w:b/>
                <w:bCs/>
                <w:color w:val="000000"/>
                <w:sz w:val="22"/>
                <w:szCs w:val="22"/>
              </w:rPr>
            </w:pPr>
            <w:r>
              <w:rPr>
                <w:b/>
                <w:color w:val="000000"/>
                <w:sz w:val="22"/>
              </w:rPr>
              <w:t>Clients</w:t>
            </w:r>
          </w:p>
        </w:tc>
        <w:tc>
          <w:tcPr>
            <w:tcW w:w="7180" w:type="dxa"/>
            <w:tcBorders>
              <w:top w:val="nil"/>
              <w:left w:val="nil"/>
              <w:bottom w:val="single" w:sz="4" w:space="0" w:color="BFBFBF"/>
              <w:right w:val="single" w:sz="4" w:space="0" w:color="BFBFBF"/>
            </w:tcBorders>
            <w:shd w:val="clear" w:color="auto" w:fill="auto"/>
            <w:vAlign w:val="center"/>
            <w:hideMark/>
          </w:tcPr>
          <w:p w14:paraId="340B9F82" w14:textId="77777777" w:rsidR="00103ACA" w:rsidRPr="00103ACA" w:rsidRDefault="00103ACA" w:rsidP="00103ACA">
            <w:pPr>
              <w:rPr>
                <w:color w:val="000000"/>
                <w:szCs w:val="20"/>
              </w:rPr>
            </w:pPr>
            <w:r>
              <w:rPr>
                <w:color w:val="000000"/>
              </w:rPr>
              <w:t>Demandez une liste des clients clés et les coordonnées des responsables.</w:t>
            </w:r>
          </w:p>
        </w:tc>
      </w:tr>
      <w:tr w:rsidR="00103ACA" w:rsidRPr="00103ACA" w14:paraId="63B854AF"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1ECB882"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16F2487" w14:textId="77777777" w:rsidR="00103ACA" w:rsidRPr="00103ACA" w:rsidRDefault="00103ACA" w:rsidP="00103ACA">
            <w:pPr>
              <w:rPr>
                <w:b/>
                <w:bCs/>
                <w:color w:val="000000"/>
                <w:sz w:val="22"/>
                <w:szCs w:val="22"/>
              </w:rPr>
            </w:pPr>
            <w:r>
              <w:rPr>
                <w:b/>
                <w:color w:val="000000"/>
                <w:sz w:val="22"/>
              </w:rPr>
              <w:t>Formation et développement</w:t>
            </w:r>
          </w:p>
        </w:tc>
        <w:tc>
          <w:tcPr>
            <w:tcW w:w="7180" w:type="dxa"/>
            <w:tcBorders>
              <w:top w:val="nil"/>
              <w:left w:val="nil"/>
              <w:bottom w:val="single" w:sz="4" w:space="0" w:color="BFBFBF"/>
              <w:right w:val="single" w:sz="4" w:space="0" w:color="BFBFBF"/>
            </w:tcBorders>
            <w:shd w:val="clear" w:color="auto" w:fill="auto"/>
            <w:vAlign w:val="center"/>
            <w:hideMark/>
          </w:tcPr>
          <w:p w14:paraId="1FD90598" w14:textId="77777777" w:rsidR="00103ACA" w:rsidRPr="00103ACA" w:rsidRDefault="00103ACA" w:rsidP="00103ACA">
            <w:pPr>
              <w:rPr>
                <w:color w:val="000000"/>
                <w:szCs w:val="20"/>
              </w:rPr>
            </w:pPr>
            <w:r>
              <w:rPr>
                <w:color w:val="000000"/>
              </w:rPr>
              <w:t>Passez en revue le système que le fournisseur a mis en place pour la formation et le développement du personnel, ainsi que toute initiative.</w:t>
            </w:r>
          </w:p>
        </w:tc>
      </w:tr>
      <w:tr w:rsidR="00103ACA" w:rsidRPr="00103ACA" w14:paraId="3C48F95E"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195B952"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7F344B2" w14:textId="77777777" w:rsidR="00103ACA" w:rsidRPr="00103ACA" w:rsidRDefault="00103ACA" w:rsidP="00103ACA">
            <w:pPr>
              <w:rPr>
                <w:b/>
                <w:bCs/>
                <w:color w:val="000000"/>
                <w:sz w:val="22"/>
                <w:szCs w:val="22"/>
              </w:rPr>
            </w:pPr>
            <w:r>
              <w:rPr>
                <w:b/>
                <w:color w:val="000000"/>
                <w:sz w:val="22"/>
              </w:rPr>
              <w:t>Personnel clé</w:t>
            </w:r>
          </w:p>
        </w:tc>
        <w:tc>
          <w:tcPr>
            <w:tcW w:w="7180" w:type="dxa"/>
            <w:tcBorders>
              <w:top w:val="nil"/>
              <w:left w:val="nil"/>
              <w:bottom w:val="single" w:sz="4" w:space="0" w:color="BFBFBF"/>
              <w:right w:val="single" w:sz="4" w:space="0" w:color="BFBFBF"/>
            </w:tcBorders>
            <w:shd w:val="clear" w:color="auto" w:fill="auto"/>
            <w:vAlign w:val="center"/>
            <w:hideMark/>
          </w:tcPr>
          <w:p w14:paraId="2A9F4C90" w14:textId="77777777" w:rsidR="00103ACA" w:rsidRPr="00103ACA" w:rsidRDefault="00103ACA" w:rsidP="00103ACA">
            <w:pPr>
              <w:rPr>
                <w:color w:val="000000"/>
                <w:szCs w:val="20"/>
              </w:rPr>
            </w:pPr>
            <w:r>
              <w:rPr>
                <w:color w:val="000000"/>
              </w:rPr>
              <w:t>Rencontrez les personnes qui s’occuperont de votre compte.</w:t>
            </w:r>
          </w:p>
        </w:tc>
      </w:tr>
      <w:tr w:rsidR="00103ACA" w:rsidRPr="00103ACA" w14:paraId="6EAED6E1" w14:textId="77777777" w:rsidTr="00103ACA">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69368CF" w14:textId="77777777" w:rsidR="00103ACA" w:rsidRPr="00103ACA" w:rsidRDefault="00103ACA" w:rsidP="00103ACA">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028A8FC" w14:textId="77777777" w:rsidR="00103ACA" w:rsidRPr="00103ACA" w:rsidRDefault="00103ACA" w:rsidP="00103ACA">
            <w:pPr>
              <w:rPr>
                <w:b/>
                <w:bCs/>
                <w:color w:val="000000"/>
                <w:sz w:val="22"/>
                <w:szCs w:val="22"/>
              </w:rPr>
            </w:pPr>
            <w:r>
              <w:rPr>
                <w:b/>
                <w:color w:val="000000"/>
                <w:sz w:val="22"/>
              </w:rPr>
              <w:t>Recrutement</w:t>
            </w:r>
          </w:p>
        </w:tc>
        <w:tc>
          <w:tcPr>
            <w:tcW w:w="7180" w:type="dxa"/>
            <w:tcBorders>
              <w:top w:val="nil"/>
              <w:left w:val="nil"/>
              <w:bottom w:val="single" w:sz="4" w:space="0" w:color="BFBFBF"/>
              <w:right w:val="single" w:sz="4" w:space="0" w:color="BFBFBF"/>
            </w:tcBorders>
            <w:shd w:val="clear" w:color="auto" w:fill="auto"/>
            <w:vAlign w:val="center"/>
            <w:hideMark/>
          </w:tcPr>
          <w:p w14:paraId="62E7B8F1" w14:textId="77777777" w:rsidR="00103ACA" w:rsidRPr="00103ACA" w:rsidRDefault="00103ACA" w:rsidP="00103ACA">
            <w:pPr>
              <w:rPr>
                <w:color w:val="000000"/>
                <w:szCs w:val="20"/>
              </w:rPr>
            </w:pPr>
            <w:r>
              <w:rPr>
                <w:color w:val="000000"/>
              </w:rPr>
              <w:t>Découvrez comment les gens obtiennent des postes clés et comprenez les critères de recrutement.</w:t>
            </w:r>
          </w:p>
        </w:tc>
      </w:tr>
    </w:tbl>
    <w:p w14:paraId="44767411"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AD8BCD4"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0F4F9376" w14:textId="77777777" w:rsidR="001935CE" w:rsidRPr="001935CE" w:rsidRDefault="001935CE" w:rsidP="001935CE">
            <w:pPr>
              <w:ind w:hanging="109"/>
              <w:rPr>
                <w:color w:val="000000"/>
                <w:sz w:val="30"/>
                <w:szCs w:val="30"/>
              </w:rPr>
            </w:pPr>
            <w:r>
              <w:rPr>
                <w:color w:val="000000"/>
                <w:sz w:val="30"/>
              </w:rPr>
              <w:t>CAPACITÉS</w:t>
            </w:r>
          </w:p>
        </w:tc>
      </w:tr>
      <w:tr w:rsidR="001935CE" w:rsidRPr="001935CE" w14:paraId="56AD02CF"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67D0FC3C"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5769874D"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06787855" w14:textId="77777777" w:rsidR="001935CE" w:rsidRPr="001935CE" w:rsidRDefault="001935CE" w:rsidP="001935CE">
            <w:pPr>
              <w:rPr>
                <w:b/>
                <w:bCs/>
                <w:color w:val="000000"/>
                <w:szCs w:val="20"/>
              </w:rPr>
            </w:pPr>
            <w:r>
              <w:rPr>
                <w:b/>
                <w:color w:val="000000"/>
              </w:rPr>
              <w:t>ACTION</w:t>
            </w:r>
          </w:p>
        </w:tc>
      </w:tr>
      <w:tr w:rsidR="001935CE" w:rsidRPr="001935CE" w14:paraId="58567CAF"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651A64D"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4565AF6A" w14:textId="77777777" w:rsidR="001935CE" w:rsidRPr="001935CE" w:rsidRDefault="001935CE" w:rsidP="001935CE">
            <w:pPr>
              <w:rPr>
                <w:b/>
                <w:bCs/>
                <w:color w:val="000000"/>
                <w:sz w:val="22"/>
                <w:szCs w:val="22"/>
              </w:rPr>
            </w:pPr>
            <w:r>
              <w:rPr>
                <w:b/>
                <w:color w:val="000000"/>
                <w:sz w:val="22"/>
              </w:rPr>
              <w:t>Commandes actuelles et futures</w:t>
            </w:r>
          </w:p>
        </w:tc>
        <w:tc>
          <w:tcPr>
            <w:tcW w:w="7180" w:type="dxa"/>
            <w:tcBorders>
              <w:top w:val="nil"/>
              <w:left w:val="nil"/>
              <w:bottom w:val="single" w:sz="4" w:space="0" w:color="BFBFBF"/>
              <w:right w:val="single" w:sz="4" w:space="0" w:color="BFBFBF"/>
            </w:tcBorders>
            <w:shd w:val="clear" w:color="auto" w:fill="auto"/>
            <w:vAlign w:val="center"/>
            <w:hideMark/>
          </w:tcPr>
          <w:p w14:paraId="69074E5F" w14:textId="77777777" w:rsidR="001935CE" w:rsidRPr="001935CE" w:rsidRDefault="001935CE" w:rsidP="00FB435B">
            <w:pPr>
              <w:rPr>
                <w:color w:val="000000"/>
                <w:szCs w:val="20"/>
              </w:rPr>
            </w:pPr>
            <w:r>
              <w:rPr>
                <w:color w:val="000000"/>
              </w:rPr>
              <w:t>Recueillez des informations pour déterminer la capacité totale ; déterminez si la capacité est suffisante pour répondre à vos exigences actuelles et futures.</w:t>
            </w:r>
          </w:p>
        </w:tc>
      </w:tr>
      <w:tr w:rsidR="001935CE" w:rsidRPr="001935CE" w14:paraId="51B2609E"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8FA2E2E"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0CA3DB5" w14:textId="77777777" w:rsidR="001935CE" w:rsidRPr="001935CE" w:rsidRDefault="001935CE" w:rsidP="001935CE">
            <w:pPr>
              <w:rPr>
                <w:b/>
                <w:bCs/>
                <w:color w:val="000000"/>
                <w:sz w:val="22"/>
                <w:szCs w:val="22"/>
              </w:rPr>
            </w:pPr>
            <w:r>
              <w:rPr>
                <w:b/>
                <w:color w:val="000000"/>
                <w:sz w:val="22"/>
              </w:rPr>
              <w:t>Statistiques opérationnelles</w:t>
            </w:r>
          </w:p>
        </w:tc>
        <w:tc>
          <w:tcPr>
            <w:tcW w:w="7180" w:type="dxa"/>
            <w:tcBorders>
              <w:top w:val="nil"/>
              <w:left w:val="nil"/>
              <w:bottom w:val="single" w:sz="4" w:space="0" w:color="BFBFBF"/>
              <w:right w:val="single" w:sz="4" w:space="0" w:color="BFBFBF"/>
            </w:tcBorders>
            <w:shd w:val="clear" w:color="auto" w:fill="auto"/>
            <w:vAlign w:val="center"/>
            <w:hideMark/>
          </w:tcPr>
          <w:p w14:paraId="69ADF58F" w14:textId="77777777" w:rsidR="001935CE" w:rsidRPr="001935CE" w:rsidRDefault="001935CE" w:rsidP="001935CE">
            <w:pPr>
              <w:rPr>
                <w:color w:val="000000"/>
                <w:szCs w:val="20"/>
              </w:rPr>
            </w:pPr>
            <w:r>
              <w:rPr>
                <w:color w:val="000000"/>
              </w:rPr>
              <w:t>Vérifiez les statistiques qui fournissent des preuves concernant des problèmes de qualité ou des niveaux de service. Ce type de données est facile à acquérir lorsque le vendeur ou le fournisseur a l’accréditation ISO.</w:t>
            </w:r>
          </w:p>
        </w:tc>
      </w:tr>
      <w:tr w:rsidR="001935CE" w:rsidRPr="001935CE" w14:paraId="30D277FA"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3316165"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8722AEB" w14:textId="77777777" w:rsidR="001935CE" w:rsidRPr="001935CE" w:rsidRDefault="001935CE" w:rsidP="001935CE">
            <w:pPr>
              <w:rPr>
                <w:b/>
                <w:bCs/>
                <w:color w:val="000000"/>
                <w:sz w:val="22"/>
                <w:szCs w:val="22"/>
              </w:rPr>
            </w:pPr>
            <w:r>
              <w:rPr>
                <w:b/>
                <w:color w:val="000000"/>
                <w:sz w:val="22"/>
              </w:rPr>
              <w:t>Ressources</w:t>
            </w:r>
          </w:p>
        </w:tc>
        <w:tc>
          <w:tcPr>
            <w:tcW w:w="7180" w:type="dxa"/>
            <w:tcBorders>
              <w:top w:val="nil"/>
              <w:left w:val="nil"/>
              <w:bottom w:val="single" w:sz="4" w:space="0" w:color="BFBFBF"/>
              <w:right w:val="single" w:sz="4" w:space="0" w:color="BFBFBF"/>
            </w:tcBorders>
            <w:shd w:val="clear" w:color="auto" w:fill="auto"/>
            <w:vAlign w:val="center"/>
            <w:hideMark/>
          </w:tcPr>
          <w:p w14:paraId="2EE5614C" w14:textId="77777777" w:rsidR="001935CE" w:rsidRPr="001935CE" w:rsidRDefault="001935CE" w:rsidP="001935CE">
            <w:pPr>
              <w:rPr>
                <w:color w:val="000000"/>
                <w:szCs w:val="20"/>
              </w:rPr>
            </w:pPr>
            <w:r>
              <w:rPr>
                <w:color w:val="000000"/>
              </w:rPr>
              <w:t>Assurez-vous que les systèmes et procédures nécessaires sont en place pour assurer une bonne qualité et des niveaux de service élevés.</w:t>
            </w:r>
          </w:p>
        </w:tc>
      </w:tr>
    </w:tbl>
    <w:p w14:paraId="155183B8" w14:textId="77777777" w:rsidR="009D2213" w:rsidRDefault="009D2213" w:rsidP="009D2213">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9D2213" w:rsidRPr="001935CE" w14:paraId="1DE62128" w14:textId="77777777" w:rsidTr="00AA7180">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7336F1C6" w14:textId="77777777" w:rsidR="009D2213" w:rsidRPr="001935CE" w:rsidRDefault="009D2213" w:rsidP="00AA7180">
            <w:pPr>
              <w:ind w:hanging="109"/>
              <w:rPr>
                <w:color w:val="000000"/>
                <w:sz w:val="30"/>
                <w:szCs w:val="30"/>
              </w:rPr>
            </w:pPr>
            <w:r>
              <w:rPr>
                <w:color w:val="000000"/>
                <w:sz w:val="30"/>
              </w:rPr>
              <w:t>COHÉRENCE DES PERFORMANCES</w:t>
            </w:r>
          </w:p>
        </w:tc>
      </w:tr>
      <w:tr w:rsidR="009D2213" w:rsidRPr="001935CE" w14:paraId="49C4BB94" w14:textId="77777777" w:rsidTr="00AA7180">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2092C87C" w14:textId="77777777" w:rsidR="009D2213" w:rsidRPr="001935CE" w:rsidRDefault="009D2213" w:rsidP="00AA7180">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3A22056E" w14:textId="77777777" w:rsidR="009D2213" w:rsidRPr="001935CE" w:rsidRDefault="009D2213" w:rsidP="00AA7180">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46371245" w14:textId="77777777" w:rsidR="009D2213" w:rsidRPr="001935CE" w:rsidRDefault="009D2213" w:rsidP="00AA7180">
            <w:pPr>
              <w:rPr>
                <w:b/>
                <w:bCs/>
                <w:color w:val="000000"/>
                <w:szCs w:val="20"/>
              </w:rPr>
            </w:pPr>
            <w:r>
              <w:rPr>
                <w:b/>
                <w:color w:val="000000"/>
              </w:rPr>
              <w:t>ACTION</w:t>
            </w:r>
          </w:p>
        </w:tc>
      </w:tr>
      <w:tr w:rsidR="009D2213" w:rsidRPr="001935CE" w14:paraId="4DCBD06D" w14:textId="77777777" w:rsidTr="00AA7180">
        <w:trPr>
          <w:trHeight w:val="13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B5D06CB" w14:textId="77777777" w:rsidR="009D2213" w:rsidRPr="001935CE" w:rsidRDefault="009D2213" w:rsidP="00AA7180">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ADA4E0B" w14:textId="77777777" w:rsidR="009D2213" w:rsidRPr="001935CE" w:rsidRDefault="009D2213" w:rsidP="00AA7180">
            <w:pPr>
              <w:rPr>
                <w:b/>
                <w:bCs/>
                <w:color w:val="000000"/>
                <w:sz w:val="22"/>
                <w:szCs w:val="22"/>
              </w:rPr>
            </w:pPr>
            <w:r>
              <w:rPr>
                <w:b/>
                <w:color w:val="000000"/>
                <w:sz w:val="22"/>
              </w:rPr>
              <w:t xml:space="preserve">Des niveaux de qualité </w:t>
            </w:r>
            <w:r w:rsidRPr="001935CE">
              <w:rPr>
                <w:b/>
                <w:bCs/>
                <w:color w:val="000000"/>
                <w:sz w:val="22"/>
                <w:szCs w:val="22"/>
              </w:rPr>
              <w:br/>
            </w:r>
            <w:r>
              <w:rPr>
                <w:b/>
                <w:color w:val="000000"/>
                <w:sz w:val="22"/>
              </w:rPr>
              <w:t>et de service cohérents</w:t>
            </w:r>
          </w:p>
        </w:tc>
        <w:tc>
          <w:tcPr>
            <w:tcW w:w="7180" w:type="dxa"/>
            <w:tcBorders>
              <w:top w:val="nil"/>
              <w:left w:val="nil"/>
              <w:bottom w:val="single" w:sz="4" w:space="0" w:color="BFBFBF"/>
              <w:right w:val="single" w:sz="4" w:space="0" w:color="BFBFBF"/>
            </w:tcBorders>
            <w:shd w:val="clear" w:color="auto" w:fill="auto"/>
            <w:vAlign w:val="center"/>
            <w:hideMark/>
          </w:tcPr>
          <w:p w14:paraId="03F0F3F6" w14:textId="77777777" w:rsidR="009D2213" w:rsidRPr="001935CE" w:rsidRDefault="00FB435B" w:rsidP="00AA7180">
            <w:pPr>
              <w:rPr>
                <w:color w:val="000000"/>
                <w:szCs w:val="20"/>
              </w:rPr>
            </w:pPr>
            <w:r>
              <w:rPr>
                <w:color w:val="000000"/>
              </w:rPr>
              <w:t>Déterminez si le fournisseur sera en mesure de fournir des niveaux élevés de qualité et de service tout au long de la durée du contrat. Un indicateur de l’orientation client est de savoir si le fournisseur dispose ou non d’un gestionnaire de compte dédié ou d’une équipe d’experts pouvant répondre aux questions ou aux besoins en matière de services.</w:t>
            </w:r>
          </w:p>
        </w:tc>
      </w:tr>
      <w:tr w:rsidR="009D2213" w:rsidRPr="001935CE" w14:paraId="3E642483" w14:textId="77777777" w:rsidTr="00AA7180">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F07B7F2" w14:textId="77777777" w:rsidR="009D2213" w:rsidRPr="001935CE" w:rsidRDefault="009D2213" w:rsidP="00AA7180">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6288A4C" w14:textId="77777777" w:rsidR="009D2213" w:rsidRPr="001935CE" w:rsidRDefault="009D2213" w:rsidP="00AA7180">
            <w:pPr>
              <w:rPr>
                <w:b/>
                <w:bCs/>
                <w:color w:val="000000"/>
                <w:sz w:val="22"/>
                <w:szCs w:val="22"/>
              </w:rPr>
            </w:pPr>
            <w:r>
              <w:rPr>
                <w:b/>
                <w:color w:val="000000"/>
                <w:sz w:val="22"/>
              </w:rPr>
              <w:t>Contrôle statistique des processus (SPC)</w:t>
            </w:r>
          </w:p>
        </w:tc>
        <w:tc>
          <w:tcPr>
            <w:tcW w:w="7180" w:type="dxa"/>
            <w:tcBorders>
              <w:top w:val="nil"/>
              <w:left w:val="nil"/>
              <w:bottom w:val="single" w:sz="4" w:space="0" w:color="BFBFBF"/>
              <w:right w:val="single" w:sz="4" w:space="0" w:color="BFBFBF"/>
            </w:tcBorders>
            <w:shd w:val="clear" w:color="auto" w:fill="auto"/>
            <w:vAlign w:val="center"/>
            <w:hideMark/>
          </w:tcPr>
          <w:p w14:paraId="5C4E2EBE" w14:textId="77777777" w:rsidR="009D2213" w:rsidRPr="001935CE" w:rsidRDefault="009D2213" w:rsidP="00AA7180">
            <w:pPr>
              <w:rPr>
                <w:color w:val="000000"/>
                <w:szCs w:val="20"/>
              </w:rPr>
            </w:pPr>
            <w:r>
              <w:rPr>
                <w:color w:val="000000"/>
              </w:rPr>
              <w:t>Le SPC mesure la qualité du produit, identifie les tendances à glisser au-delà des limites de tolérance, et prend des mesures correctives avant qu’un problème ne se produise afin d’améliorer la qualité et de limiter les coûts.</w:t>
            </w:r>
          </w:p>
        </w:tc>
      </w:tr>
    </w:tbl>
    <w:p w14:paraId="22D9883D" w14:textId="77777777" w:rsidR="001935CE" w:rsidRDefault="001935CE" w:rsidP="00D60F8B">
      <w:pPr>
        <w:spacing w:line="276" w:lineRule="auto"/>
        <w:rPr>
          <w:sz w:val="18"/>
          <w:szCs w:val="18"/>
        </w:rPr>
        <w:sectPr w:rsidR="001935CE" w:rsidSect="00103ACA">
          <w:footerReference w:type="even" r:id="rId13"/>
          <w:footerReference w:type="default" r:id="rId14"/>
          <w:pgSz w:w="12240" w:h="15840"/>
          <w:pgMar w:top="576" w:right="504" w:bottom="576" w:left="621" w:header="720" w:footer="518" w:gutter="0"/>
          <w:cols w:space="720"/>
          <w:titlePg/>
          <w:docGrid w:linePitch="360"/>
        </w:sectPr>
      </w:pPr>
    </w:p>
    <w:tbl>
      <w:tblPr>
        <w:tblW w:w="11000" w:type="dxa"/>
        <w:tblLook w:val="04A0" w:firstRow="1" w:lastRow="0" w:firstColumn="1" w:lastColumn="0" w:noHBand="0" w:noVBand="1"/>
      </w:tblPr>
      <w:tblGrid>
        <w:gridCol w:w="700"/>
        <w:gridCol w:w="3120"/>
        <w:gridCol w:w="7180"/>
      </w:tblGrid>
      <w:tr w:rsidR="001935CE" w:rsidRPr="001935CE" w14:paraId="2034AABD"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0E4C4D0D" w14:textId="77777777" w:rsidR="001935CE" w:rsidRPr="001935CE" w:rsidRDefault="001935CE" w:rsidP="001935CE">
            <w:pPr>
              <w:ind w:hanging="109"/>
              <w:rPr>
                <w:color w:val="000000"/>
                <w:sz w:val="30"/>
                <w:szCs w:val="30"/>
              </w:rPr>
            </w:pPr>
            <w:r>
              <w:rPr>
                <w:color w:val="000000"/>
                <w:sz w:val="30"/>
              </w:rPr>
              <w:lastRenderedPageBreak/>
              <w:t>ENGAGEMENT EN FAVEUR DE LA QUALITÉ</w:t>
            </w:r>
          </w:p>
        </w:tc>
      </w:tr>
      <w:tr w:rsidR="001935CE" w:rsidRPr="001935CE" w14:paraId="5BF95B29"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F86E549"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1516E615"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2A856ED3" w14:textId="77777777" w:rsidR="001935CE" w:rsidRPr="001935CE" w:rsidRDefault="001935CE" w:rsidP="001935CE">
            <w:pPr>
              <w:rPr>
                <w:b/>
                <w:bCs/>
                <w:color w:val="000000"/>
                <w:szCs w:val="20"/>
              </w:rPr>
            </w:pPr>
            <w:r>
              <w:rPr>
                <w:b/>
                <w:color w:val="000000"/>
              </w:rPr>
              <w:t>ACTION</w:t>
            </w:r>
          </w:p>
        </w:tc>
      </w:tr>
      <w:tr w:rsidR="001935CE" w:rsidRPr="001935CE" w14:paraId="4313285D"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82B0AD1"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64A9C02" w14:textId="77777777" w:rsidR="001935CE" w:rsidRPr="001935CE" w:rsidRDefault="001935CE" w:rsidP="001935CE">
            <w:pPr>
              <w:rPr>
                <w:b/>
                <w:bCs/>
                <w:color w:val="000000"/>
                <w:sz w:val="22"/>
                <w:szCs w:val="22"/>
              </w:rPr>
            </w:pPr>
            <w:r>
              <w:rPr>
                <w:b/>
                <w:color w:val="000000"/>
                <w:sz w:val="22"/>
              </w:rPr>
              <w:t>Élément ou service </w:t>
            </w:r>
          </w:p>
        </w:tc>
        <w:tc>
          <w:tcPr>
            <w:tcW w:w="7180" w:type="dxa"/>
            <w:tcBorders>
              <w:top w:val="nil"/>
              <w:left w:val="nil"/>
              <w:bottom w:val="single" w:sz="4" w:space="0" w:color="BFBFBF"/>
              <w:right w:val="single" w:sz="4" w:space="0" w:color="BFBFBF"/>
            </w:tcBorders>
            <w:shd w:val="clear" w:color="auto" w:fill="auto"/>
            <w:vAlign w:val="center"/>
            <w:hideMark/>
          </w:tcPr>
          <w:p w14:paraId="274FFFC0" w14:textId="77777777" w:rsidR="001935CE" w:rsidRPr="001935CE" w:rsidRDefault="001935CE" w:rsidP="002D6F0A">
            <w:pPr>
              <w:rPr>
                <w:color w:val="000000"/>
                <w:szCs w:val="20"/>
              </w:rPr>
            </w:pPr>
            <w:r>
              <w:rPr>
                <w:color w:val="000000"/>
              </w:rPr>
              <w:t>Demandez des vérifications et des approbations de clients ou de sources indépendantes concernant la qualité de l’article ou du service.</w:t>
            </w:r>
          </w:p>
        </w:tc>
      </w:tr>
      <w:tr w:rsidR="001935CE" w:rsidRPr="001935CE" w14:paraId="5951F9D3"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10059C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5818AB4" w14:textId="77777777" w:rsidR="001935CE" w:rsidRPr="001935CE" w:rsidRDefault="001935CE" w:rsidP="001935CE">
            <w:pPr>
              <w:rPr>
                <w:b/>
                <w:bCs/>
                <w:color w:val="000000"/>
                <w:sz w:val="22"/>
                <w:szCs w:val="22"/>
              </w:rPr>
            </w:pPr>
            <w:r>
              <w:rPr>
                <w:b/>
                <w:color w:val="000000"/>
                <w:sz w:val="22"/>
              </w:rPr>
              <w:t>Gestion de la qualité</w:t>
            </w:r>
          </w:p>
        </w:tc>
        <w:tc>
          <w:tcPr>
            <w:tcW w:w="7180" w:type="dxa"/>
            <w:tcBorders>
              <w:top w:val="nil"/>
              <w:left w:val="nil"/>
              <w:bottom w:val="single" w:sz="4" w:space="0" w:color="BFBFBF"/>
              <w:right w:val="single" w:sz="4" w:space="0" w:color="BFBFBF"/>
            </w:tcBorders>
            <w:shd w:val="clear" w:color="auto" w:fill="auto"/>
            <w:vAlign w:val="center"/>
            <w:hideMark/>
          </w:tcPr>
          <w:p w14:paraId="25B2D995" w14:textId="77777777" w:rsidR="001935CE" w:rsidRPr="001935CE" w:rsidRDefault="001935CE" w:rsidP="001935CE">
            <w:pPr>
              <w:rPr>
                <w:color w:val="000000"/>
                <w:szCs w:val="20"/>
              </w:rPr>
            </w:pPr>
            <w:r>
              <w:rPr>
                <w:color w:val="000000"/>
              </w:rPr>
              <w:t>Examinez les processus de qualité que le fournisseur utilise, tels que la gestion de la qualité totale (TQM) ou les mesures de contrôle de la qualité qui quantifient la norme de production. </w:t>
            </w:r>
          </w:p>
        </w:tc>
      </w:tr>
      <w:tr w:rsidR="001935CE" w:rsidRPr="001935CE" w14:paraId="7DD3E025" w14:textId="77777777" w:rsidTr="009B6FFF">
        <w:trPr>
          <w:trHeight w:val="216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8EA058B"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4E382F0" w14:textId="77777777" w:rsidR="001935CE" w:rsidRPr="001935CE" w:rsidRDefault="001935CE" w:rsidP="001935CE">
            <w:pPr>
              <w:rPr>
                <w:b/>
                <w:bCs/>
                <w:color w:val="000000"/>
                <w:sz w:val="22"/>
                <w:szCs w:val="22"/>
              </w:rPr>
            </w:pPr>
            <w:r>
              <w:rPr>
                <w:b/>
                <w:color w:val="000000"/>
                <w:sz w:val="22"/>
              </w:rPr>
              <w:t>Conformité aux normes</w:t>
            </w:r>
          </w:p>
        </w:tc>
        <w:tc>
          <w:tcPr>
            <w:tcW w:w="7180" w:type="dxa"/>
            <w:tcBorders>
              <w:top w:val="nil"/>
              <w:left w:val="nil"/>
              <w:bottom w:val="single" w:sz="4" w:space="0" w:color="BFBFBF"/>
              <w:right w:val="single" w:sz="4" w:space="0" w:color="BFBFBF"/>
            </w:tcBorders>
            <w:shd w:val="clear" w:color="auto" w:fill="auto"/>
            <w:vAlign w:val="center"/>
            <w:hideMark/>
          </w:tcPr>
          <w:p w14:paraId="2722D1B5" w14:textId="77777777" w:rsidR="001935CE" w:rsidRPr="001935CE" w:rsidRDefault="00037939" w:rsidP="001935CE">
            <w:pPr>
              <w:rPr>
                <w:color w:val="000000"/>
                <w:szCs w:val="20"/>
              </w:rPr>
            </w:pPr>
            <w:r>
              <w:rPr>
                <w:color w:val="000000"/>
              </w:rPr>
              <w:t>Lorsque cela est essentiel pour votre entreprise, vérifiez que les partenaires potentiels respectent les normes pertinentes pour leur entreprise (et la vôtre). Les normes peuvent être liées à la qualité des produits, comme les normes internationales de production ISO ou la norme QS 9000 pour les constructeurs automobiles américains. La conformité à des réglementations telles que la norme de sécurité des données de l’industrie des cartes de paiement (PCI DSS), les normes HIPAA pour les informations de santé et la Loi californienne sur la confidentialité des communications électroniques (Cal ECPA) peut également être pertinente pour votre entreprise.</w:t>
            </w:r>
          </w:p>
        </w:tc>
      </w:tr>
      <w:tr w:rsidR="001935CE" w:rsidRPr="001935CE" w14:paraId="41125F0F"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444AF203"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A333FA0" w14:textId="77777777" w:rsidR="001935CE" w:rsidRPr="001935CE" w:rsidRDefault="001935CE" w:rsidP="001935CE">
            <w:pPr>
              <w:rPr>
                <w:b/>
                <w:bCs/>
                <w:color w:val="000000"/>
                <w:sz w:val="22"/>
                <w:szCs w:val="22"/>
              </w:rPr>
            </w:pPr>
            <w:r>
              <w:rPr>
                <w:b/>
                <w:color w:val="000000"/>
                <w:sz w:val="22"/>
              </w:rPr>
              <w:t>Essais non destructifs (END)</w:t>
            </w:r>
          </w:p>
        </w:tc>
        <w:tc>
          <w:tcPr>
            <w:tcW w:w="7180" w:type="dxa"/>
            <w:tcBorders>
              <w:top w:val="nil"/>
              <w:left w:val="nil"/>
              <w:bottom w:val="single" w:sz="4" w:space="0" w:color="BFBFBF"/>
              <w:right w:val="single" w:sz="4" w:space="0" w:color="BFBFBF"/>
            </w:tcBorders>
            <w:shd w:val="clear" w:color="auto" w:fill="auto"/>
            <w:vAlign w:val="center"/>
            <w:hideMark/>
          </w:tcPr>
          <w:p w14:paraId="6B1C8B21" w14:textId="77777777" w:rsidR="001935CE" w:rsidRPr="001935CE" w:rsidRDefault="001935CE" w:rsidP="001935CE">
            <w:pPr>
              <w:rPr>
                <w:color w:val="000000"/>
                <w:szCs w:val="20"/>
              </w:rPr>
            </w:pPr>
            <w:r>
              <w:rPr>
                <w:color w:val="000000"/>
              </w:rPr>
              <w:t>L’analyse des END est utilisée dans les secteurs de la technologie et des sciences pour évaluer les produits ou les processus sans causer de dommages, de dégâts, de risques ou de pertes financières.</w:t>
            </w:r>
          </w:p>
        </w:tc>
      </w:tr>
      <w:tr w:rsidR="001935CE" w:rsidRPr="001935CE" w14:paraId="41CE279C"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78D595D7"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4E25FAD" w14:textId="77777777" w:rsidR="001935CE" w:rsidRPr="001935CE" w:rsidRDefault="001935CE" w:rsidP="001935CE">
            <w:pPr>
              <w:rPr>
                <w:b/>
                <w:bCs/>
                <w:color w:val="000000"/>
                <w:sz w:val="22"/>
                <w:szCs w:val="22"/>
              </w:rPr>
            </w:pPr>
            <w:r>
              <w:rPr>
                <w:b/>
                <w:color w:val="000000"/>
                <w:sz w:val="22"/>
              </w:rPr>
              <w:t>Amélioration continue </w:t>
            </w:r>
          </w:p>
        </w:tc>
        <w:tc>
          <w:tcPr>
            <w:tcW w:w="7180" w:type="dxa"/>
            <w:tcBorders>
              <w:top w:val="nil"/>
              <w:left w:val="nil"/>
              <w:bottom w:val="single" w:sz="4" w:space="0" w:color="BFBFBF"/>
              <w:right w:val="single" w:sz="4" w:space="0" w:color="BFBFBF"/>
            </w:tcBorders>
            <w:shd w:val="clear" w:color="auto" w:fill="auto"/>
            <w:vAlign w:val="center"/>
            <w:hideMark/>
          </w:tcPr>
          <w:p w14:paraId="6B7D5260" w14:textId="77777777" w:rsidR="001935CE" w:rsidRPr="001935CE" w:rsidRDefault="001935CE" w:rsidP="001935CE">
            <w:pPr>
              <w:rPr>
                <w:color w:val="000000"/>
                <w:szCs w:val="20"/>
              </w:rPr>
            </w:pPr>
            <w:r>
              <w:rPr>
                <w:color w:val="000000"/>
              </w:rPr>
              <w:t>Vérifiez la culture organisationnelle et les valeurs de l’entreprise qui se concentrent sur l’atteinte et l’amélioration continue de la qualité.</w:t>
            </w:r>
          </w:p>
        </w:tc>
      </w:tr>
    </w:tbl>
    <w:p w14:paraId="1CD25361"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5924DE30"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4BD5838F" w14:textId="77777777" w:rsidR="001935CE" w:rsidRPr="001935CE" w:rsidRDefault="001935CE" w:rsidP="001935CE">
            <w:pPr>
              <w:ind w:hanging="109"/>
              <w:rPr>
                <w:color w:val="000000"/>
                <w:sz w:val="30"/>
                <w:szCs w:val="30"/>
              </w:rPr>
            </w:pPr>
            <w:r>
              <w:rPr>
                <w:color w:val="000000"/>
                <w:sz w:val="30"/>
              </w:rPr>
              <w:t>COÛT</w:t>
            </w:r>
          </w:p>
        </w:tc>
      </w:tr>
      <w:tr w:rsidR="001935CE" w:rsidRPr="001935CE" w14:paraId="364D9C88"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766CBE16"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44C54C5A"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600EE3FF" w14:textId="77777777" w:rsidR="001935CE" w:rsidRPr="001935CE" w:rsidRDefault="001935CE" w:rsidP="001935CE">
            <w:pPr>
              <w:rPr>
                <w:b/>
                <w:bCs/>
                <w:color w:val="000000"/>
                <w:szCs w:val="20"/>
              </w:rPr>
            </w:pPr>
            <w:r>
              <w:rPr>
                <w:b/>
                <w:color w:val="000000"/>
              </w:rPr>
              <w:t>ACTION</w:t>
            </w:r>
          </w:p>
        </w:tc>
      </w:tr>
      <w:tr w:rsidR="001935CE" w:rsidRPr="001935CE" w14:paraId="09EE65FE"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A7AE0A6"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70938F1" w14:textId="77777777" w:rsidR="001935CE" w:rsidRPr="001935CE" w:rsidRDefault="001935CE" w:rsidP="001935CE">
            <w:pPr>
              <w:rPr>
                <w:b/>
                <w:bCs/>
                <w:color w:val="000000"/>
                <w:sz w:val="22"/>
                <w:szCs w:val="22"/>
              </w:rPr>
            </w:pPr>
            <w:r>
              <w:rPr>
                <w:b/>
                <w:color w:val="000000"/>
                <w:sz w:val="22"/>
              </w:rPr>
              <w:t>Prix</w:t>
            </w:r>
          </w:p>
        </w:tc>
        <w:tc>
          <w:tcPr>
            <w:tcW w:w="7180" w:type="dxa"/>
            <w:tcBorders>
              <w:top w:val="nil"/>
              <w:left w:val="nil"/>
              <w:bottom w:val="single" w:sz="4" w:space="0" w:color="BFBFBF"/>
              <w:right w:val="single" w:sz="4" w:space="0" w:color="BFBFBF"/>
            </w:tcBorders>
            <w:shd w:val="clear" w:color="auto" w:fill="auto"/>
            <w:vAlign w:val="center"/>
            <w:hideMark/>
          </w:tcPr>
          <w:p w14:paraId="77DA39F5" w14:textId="77777777" w:rsidR="001935CE" w:rsidRPr="001935CE" w:rsidRDefault="007F79A3" w:rsidP="001935CE">
            <w:pPr>
              <w:rPr>
                <w:color w:val="000000"/>
                <w:szCs w:val="20"/>
              </w:rPr>
            </w:pPr>
            <w:r>
              <w:rPr>
                <w:color w:val="000000"/>
              </w:rPr>
              <w:t>Les prix proposés doivent refléter la qualité, le service et la concurrence du secteur.</w:t>
            </w:r>
          </w:p>
        </w:tc>
      </w:tr>
      <w:tr w:rsidR="001935CE" w:rsidRPr="001935CE" w14:paraId="1C7E2558" w14:textId="77777777" w:rsidTr="001935CE">
        <w:trPr>
          <w:trHeight w:val="1008"/>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19CB69A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BA14E90" w14:textId="77777777" w:rsidR="001935CE" w:rsidRPr="001935CE" w:rsidRDefault="001935CE" w:rsidP="001935CE">
            <w:pPr>
              <w:rPr>
                <w:b/>
                <w:bCs/>
                <w:color w:val="000000"/>
                <w:sz w:val="22"/>
                <w:szCs w:val="22"/>
              </w:rPr>
            </w:pPr>
            <w:r>
              <w:rPr>
                <w:b/>
                <w:color w:val="000000"/>
                <w:sz w:val="22"/>
              </w:rPr>
              <w:t>Analyse complète des coûts</w:t>
            </w:r>
          </w:p>
        </w:tc>
        <w:tc>
          <w:tcPr>
            <w:tcW w:w="7180" w:type="dxa"/>
            <w:tcBorders>
              <w:top w:val="nil"/>
              <w:left w:val="nil"/>
              <w:bottom w:val="single" w:sz="4" w:space="0" w:color="BFBFBF"/>
              <w:right w:val="single" w:sz="4" w:space="0" w:color="BFBFBF"/>
            </w:tcBorders>
            <w:shd w:val="clear" w:color="auto" w:fill="auto"/>
            <w:vAlign w:val="center"/>
            <w:hideMark/>
          </w:tcPr>
          <w:p w14:paraId="664FBFCE" w14:textId="77777777" w:rsidR="001935CE" w:rsidRPr="001935CE" w:rsidRDefault="001935CE" w:rsidP="001935CE">
            <w:pPr>
              <w:rPr>
                <w:color w:val="000000"/>
                <w:szCs w:val="20"/>
              </w:rPr>
            </w:pPr>
            <w:r>
              <w:rPr>
                <w:color w:val="000000"/>
              </w:rPr>
              <w:t>Assurez-vous que votre vendeur ou partenaire a une affaire bien gérée en fonction des coûts variables, des coûts fixes ou des frais généraux, des marges bénéficiaires et du point de rentabilité. </w:t>
            </w:r>
          </w:p>
        </w:tc>
      </w:tr>
    </w:tbl>
    <w:p w14:paraId="2E6B5CD6"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F4E5822"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67D55C99" w14:textId="77777777" w:rsidR="001935CE" w:rsidRPr="001935CE" w:rsidRDefault="001935CE" w:rsidP="001935CE">
            <w:pPr>
              <w:ind w:hanging="109"/>
              <w:rPr>
                <w:color w:val="000000"/>
                <w:sz w:val="30"/>
                <w:szCs w:val="30"/>
              </w:rPr>
            </w:pPr>
            <w:r>
              <w:rPr>
                <w:color w:val="000000"/>
                <w:sz w:val="30"/>
              </w:rPr>
              <w:t>TRÉSORERIE ET FINANCES</w:t>
            </w:r>
          </w:p>
        </w:tc>
      </w:tr>
      <w:tr w:rsidR="001935CE" w:rsidRPr="001935CE" w14:paraId="793BD88C"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7B980889"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128C5719"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2CF62024" w14:textId="77777777" w:rsidR="001935CE" w:rsidRPr="001935CE" w:rsidRDefault="001935CE" w:rsidP="001935CE">
            <w:pPr>
              <w:rPr>
                <w:b/>
                <w:bCs/>
                <w:color w:val="000000"/>
                <w:szCs w:val="20"/>
              </w:rPr>
            </w:pPr>
            <w:r>
              <w:rPr>
                <w:b/>
                <w:color w:val="000000"/>
              </w:rPr>
              <w:t>ACTION</w:t>
            </w:r>
          </w:p>
        </w:tc>
      </w:tr>
      <w:tr w:rsidR="001935CE" w:rsidRPr="001935CE" w14:paraId="46A4C114"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7EF5A0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45DE9C2" w14:textId="77777777" w:rsidR="001935CE" w:rsidRPr="001935CE" w:rsidRDefault="001935CE" w:rsidP="001935CE">
            <w:pPr>
              <w:rPr>
                <w:b/>
                <w:bCs/>
                <w:color w:val="000000"/>
                <w:sz w:val="22"/>
                <w:szCs w:val="22"/>
              </w:rPr>
            </w:pPr>
            <w:r>
              <w:rPr>
                <w:b/>
                <w:color w:val="000000"/>
                <w:sz w:val="22"/>
              </w:rPr>
              <w:t>Bilan</w:t>
            </w:r>
          </w:p>
        </w:tc>
        <w:tc>
          <w:tcPr>
            <w:tcW w:w="7180" w:type="dxa"/>
            <w:tcBorders>
              <w:top w:val="nil"/>
              <w:left w:val="nil"/>
              <w:bottom w:val="single" w:sz="4" w:space="0" w:color="BFBFBF"/>
              <w:right w:val="single" w:sz="4" w:space="0" w:color="BFBFBF"/>
            </w:tcBorders>
            <w:shd w:val="clear" w:color="auto" w:fill="auto"/>
            <w:vAlign w:val="center"/>
            <w:hideMark/>
          </w:tcPr>
          <w:p w14:paraId="21DD6CD4" w14:textId="77777777" w:rsidR="001935CE" w:rsidRPr="001935CE" w:rsidRDefault="007F79A3" w:rsidP="001935CE">
            <w:pPr>
              <w:rPr>
                <w:color w:val="000000"/>
                <w:szCs w:val="20"/>
              </w:rPr>
            </w:pPr>
            <w:r>
              <w:rPr>
                <w:color w:val="000000"/>
              </w:rPr>
              <w:t>Consultez le registre officiel des immobilisations et des actifs courants et leur mode de financement.</w:t>
            </w:r>
          </w:p>
        </w:tc>
      </w:tr>
      <w:tr w:rsidR="001935CE" w:rsidRPr="001935CE" w14:paraId="09B7B18F"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399001B8"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649EC76F" w14:textId="77777777" w:rsidR="001935CE" w:rsidRPr="001935CE" w:rsidRDefault="001935CE" w:rsidP="001935CE">
            <w:pPr>
              <w:rPr>
                <w:b/>
                <w:bCs/>
                <w:color w:val="000000"/>
                <w:sz w:val="22"/>
                <w:szCs w:val="22"/>
              </w:rPr>
            </w:pPr>
            <w:r>
              <w:rPr>
                <w:b/>
                <w:color w:val="000000"/>
                <w:sz w:val="22"/>
              </w:rPr>
              <w:t>Profits et pertes</w:t>
            </w:r>
          </w:p>
        </w:tc>
        <w:tc>
          <w:tcPr>
            <w:tcW w:w="7180" w:type="dxa"/>
            <w:tcBorders>
              <w:top w:val="nil"/>
              <w:left w:val="nil"/>
              <w:bottom w:val="single" w:sz="4" w:space="0" w:color="BFBFBF"/>
              <w:right w:val="single" w:sz="4" w:space="0" w:color="BFBFBF"/>
            </w:tcBorders>
            <w:shd w:val="clear" w:color="auto" w:fill="auto"/>
            <w:vAlign w:val="center"/>
            <w:hideMark/>
          </w:tcPr>
          <w:p w14:paraId="3A55D420" w14:textId="77777777" w:rsidR="001935CE" w:rsidRPr="001935CE" w:rsidRDefault="001935CE" w:rsidP="001935CE">
            <w:pPr>
              <w:rPr>
                <w:color w:val="000000"/>
                <w:szCs w:val="20"/>
              </w:rPr>
            </w:pPr>
            <w:r>
              <w:rPr>
                <w:color w:val="000000"/>
              </w:rPr>
              <w:t>Une feuille de pertes et profits vous indique si le fournisseur fait des bénéfices ; la feuille est également un indicateur de la stabilité de l’entreprise.</w:t>
            </w:r>
          </w:p>
        </w:tc>
      </w:tr>
      <w:tr w:rsidR="001935CE" w:rsidRPr="001935CE" w14:paraId="52AF65B3"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7237DEF"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57A3227F" w14:textId="77777777" w:rsidR="001935CE" w:rsidRPr="001935CE" w:rsidRDefault="001935CE" w:rsidP="001935CE">
            <w:pPr>
              <w:rPr>
                <w:b/>
                <w:bCs/>
                <w:color w:val="000000"/>
                <w:sz w:val="22"/>
                <w:szCs w:val="22"/>
              </w:rPr>
            </w:pPr>
            <w:r>
              <w:rPr>
                <w:b/>
                <w:color w:val="000000"/>
                <w:sz w:val="22"/>
              </w:rPr>
              <w:t>Notation de crédit</w:t>
            </w:r>
          </w:p>
        </w:tc>
        <w:tc>
          <w:tcPr>
            <w:tcW w:w="7180" w:type="dxa"/>
            <w:tcBorders>
              <w:top w:val="nil"/>
              <w:left w:val="nil"/>
              <w:bottom w:val="single" w:sz="4" w:space="0" w:color="BFBFBF"/>
              <w:right w:val="single" w:sz="4" w:space="0" w:color="BFBFBF"/>
            </w:tcBorders>
            <w:shd w:val="clear" w:color="auto" w:fill="auto"/>
            <w:vAlign w:val="center"/>
            <w:hideMark/>
          </w:tcPr>
          <w:p w14:paraId="286F58D3" w14:textId="77777777" w:rsidR="001935CE" w:rsidRPr="001935CE" w:rsidRDefault="007F79A3" w:rsidP="001935CE">
            <w:pPr>
              <w:rPr>
                <w:color w:val="000000"/>
                <w:szCs w:val="20"/>
              </w:rPr>
            </w:pPr>
            <w:r>
              <w:rPr>
                <w:color w:val="000000"/>
              </w:rPr>
              <w:t xml:space="preserve">La notation de crédit de l’institution financière doit être </w:t>
            </w:r>
            <w:proofErr w:type="gramStart"/>
            <w:r>
              <w:rPr>
                <w:color w:val="000000"/>
              </w:rPr>
              <w:t>élevée ,</w:t>
            </w:r>
            <w:proofErr w:type="gramEnd"/>
            <w:r>
              <w:rPr>
                <w:color w:val="000000"/>
              </w:rPr>
              <w:t xml:space="preserve"> une mauvaise notation est un indicateur de mauvaise gestion.</w:t>
            </w:r>
          </w:p>
        </w:tc>
      </w:tr>
      <w:tr w:rsidR="001935CE" w:rsidRPr="001935CE" w14:paraId="1C18B26F"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2DDD7612"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407558D" w14:textId="77777777" w:rsidR="001935CE" w:rsidRPr="001935CE" w:rsidRDefault="001935CE" w:rsidP="001935CE">
            <w:pPr>
              <w:rPr>
                <w:b/>
                <w:bCs/>
                <w:color w:val="000000"/>
                <w:sz w:val="22"/>
                <w:szCs w:val="22"/>
              </w:rPr>
            </w:pPr>
            <w:r>
              <w:rPr>
                <w:b/>
                <w:color w:val="000000"/>
                <w:sz w:val="22"/>
              </w:rPr>
              <w:t>Réputation financière</w:t>
            </w:r>
          </w:p>
        </w:tc>
        <w:tc>
          <w:tcPr>
            <w:tcW w:w="7180" w:type="dxa"/>
            <w:tcBorders>
              <w:top w:val="nil"/>
              <w:left w:val="nil"/>
              <w:bottom w:val="single" w:sz="4" w:space="0" w:color="BFBFBF"/>
              <w:right w:val="single" w:sz="4" w:space="0" w:color="BFBFBF"/>
            </w:tcBorders>
            <w:shd w:val="clear" w:color="auto" w:fill="auto"/>
            <w:vAlign w:val="center"/>
            <w:hideMark/>
          </w:tcPr>
          <w:p w14:paraId="4869C0DD" w14:textId="77777777" w:rsidR="001935CE" w:rsidRPr="001935CE" w:rsidRDefault="001935CE" w:rsidP="001935CE">
            <w:pPr>
              <w:rPr>
                <w:color w:val="000000"/>
                <w:szCs w:val="20"/>
              </w:rPr>
            </w:pPr>
            <w:r>
              <w:rPr>
                <w:color w:val="000000"/>
              </w:rPr>
              <w:t>Demandez aux clients, aux analystes et à vos collègues si un partenaire potentiel est financièrement viable.</w:t>
            </w:r>
          </w:p>
        </w:tc>
      </w:tr>
    </w:tbl>
    <w:p w14:paraId="7A81FF1F"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7A3A04E3"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68254E4E" w14:textId="77777777" w:rsidR="001935CE" w:rsidRPr="001935CE" w:rsidRDefault="001935CE" w:rsidP="001935CE">
            <w:pPr>
              <w:ind w:hanging="109"/>
              <w:rPr>
                <w:color w:val="000000"/>
                <w:sz w:val="30"/>
                <w:szCs w:val="30"/>
              </w:rPr>
            </w:pPr>
            <w:r>
              <w:rPr>
                <w:color w:val="000000"/>
                <w:sz w:val="30"/>
              </w:rPr>
              <w:lastRenderedPageBreak/>
              <w:t>COMMUNICATION</w:t>
            </w:r>
          </w:p>
        </w:tc>
      </w:tr>
      <w:tr w:rsidR="001935CE" w:rsidRPr="001935CE" w14:paraId="36C2A93F"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1EDA70A7"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3D2077A2"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219A47D6" w14:textId="77777777" w:rsidR="001935CE" w:rsidRPr="001935CE" w:rsidRDefault="001935CE" w:rsidP="001935CE">
            <w:pPr>
              <w:rPr>
                <w:b/>
                <w:bCs/>
                <w:color w:val="000000"/>
                <w:szCs w:val="20"/>
              </w:rPr>
            </w:pPr>
            <w:r>
              <w:rPr>
                <w:b/>
                <w:color w:val="000000"/>
              </w:rPr>
              <w:t>ACTION</w:t>
            </w:r>
          </w:p>
        </w:tc>
      </w:tr>
      <w:tr w:rsidR="001935CE" w:rsidRPr="001935CE" w14:paraId="260B91AA"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4E39AD2"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AB74854" w14:textId="1654202A" w:rsidR="001935CE" w:rsidRPr="001935CE" w:rsidRDefault="001935CE" w:rsidP="001935CE">
            <w:pPr>
              <w:rPr>
                <w:b/>
                <w:bCs/>
                <w:color w:val="000000"/>
                <w:sz w:val="22"/>
                <w:szCs w:val="22"/>
              </w:rPr>
            </w:pPr>
            <w:r>
              <w:rPr>
                <w:b/>
                <w:color w:val="000000"/>
                <w:sz w:val="22"/>
              </w:rPr>
              <w:t>Canaux de communication appropriés</w:t>
            </w:r>
          </w:p>
        </w:tc>
        <w:tc>
          <w:tcPr>
            <w:tcW w:w="7180" w:type="dxa"/>
            <w:tcBorders>
              <w:top w:val="nil"/>
              <w:left w:val="nil"/>
              <w:bottom w:val="single" w:sz="4" w:space="0" w:color="BFBFBF"/>
              <w:right w:val="single" w:sz="4" w:space="0" w:color="BFBFBF"/>
            </w:tcBorders>
            <w:shd w:val="clear" w:color="auto" w:fill="auto"/>
            <w:vAlign w:val="center"/>
            <w:hideMark/>
          </w:tcPr>
          <w:p w14:paraId="345E706B" w14:textId="77777777" w:rsidR="001935CE" w:rsidRPr="001935CE" w:rsidRDefault="001935CE" w:rsidP="001935CE">
            <w:pPr>
              <w:rPr>
                <w:color w:val="000000"/>
                <w:szCs w:val="20"/>
              </w:rPr>
            </w:pPr>
            <w:r>
              <w:rPr>
                <w:color w:val="000000"/>
              </w:rPr>
              <w:t>Assurez-vous que le vendeur peut assister à des réunions régulières, à des événements Skype ou à des téléconférences.</w:t>
            </w:r>
          </w:p>
        </w:tc>
      </w:tr>
    </w:tbl>
    <w:p w14:paraId="24DFE39A"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64DAE650"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3C2B514E" w14:textId="77777777" w:rsidR="001935CE" w:rsidRPr="001935CE" w:rsidRDefault="001935CE" w:rsidP="001935CE">
            <w:pPr>
              <w:ind w:hanging="109"/>
              <w:rPr>
                <w:color w:val="000000"/>
                <w:sz w:val="30"/>
                <w:szCs w:val="30"/>
              </w:rPr>
            </w:pPr>
            <w:r>
              <w:rPr>
                <w:color w:val="000000"/>
                <w:sz w:val="30"/>
              </w:rPr>
              <w:t>CONTRÔLE DES PROCESSUS INTERNES</w:t>
            </w:r>
          </w:p>
        </w:tc>
      </w:tr>
      <w:tr w:rsidR="001935CE" w:rsidRPr="001935CE" w14:paraId="714DEB69"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CC2881E"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0DECC6CF"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4F93B9DB" w14:textId="77777777" w:rsidR="001935CE" w:rsidRPr="001935CE" w:rsidRDefault="001935CE" w:rsidP="001935CE">
            <w:pPr>
              <w:rPr>
                <w:b/>
                <w:bCs/>
                <w:color w:val="000000"/>
                <w:szCs w:val="20"/>
              </w:rPr>
            </w:pPr>
            <w:r>
              <w:rPr>
                <w:b/>
                <w:color w:val="000000"/>
              </w:rPr>
              <w:t>ACTION</w:t>
            </w:r>
          </w:p>
        </w:tc>
      </w:tr>
      <w:tr w:rsidR="001935CE" w:rsidRPr="001935CE" w14:paraId="0293A11C"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554D07B7"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072DD8F7" w14:textId="77777777" w:rsidR="001935CE" w:rsidRPr="001935CE" w:rsidRDefault="001935CE" w:rsidP="001935CE">
            <w:pPr>
              <w:rPr>
                <w:b/>
                <w:bCs/>
                <w:color w:val="000000"/>
                <w:sz w:val="22"/>
                <w:szCs w:val="22"/>
              </w:rPr>
            </w:pPr>
            <w:r>
              <w:rPr>
                <w:b/>
                <w:color w:val="000000"/>
                <w:sz w:val="22"/>
              </w:rPr>
              <w:t>Inventaire</w:t>
            </w:r>
          </w:p>
        </w:tc>
        <w:tc>
          <w:tcPr>
            <w:tcW w:w="7180" w:type="dxa"/>
            <w:tcBorders>
              <w:top w:val="nil"/>
              <w:left w:val="nil"/>
              <w:bottom w:val="single" w:sz="4" w:space="0" w:color="BFBFBF"/>
              <w:right w:val="single" w:sz="4" w:space="0" w:color="BFBFBF"/>
            </w:tcBorders>
            <w:shd w:val="clear" w:color="auto" w:fill="auto"/>
            <w:vAlign w:val="center"/>
            <w:hideMark/>
          </w:tcPr>
          <w:p w14:paraId="04E93B46" w14:textId="77777777" w:rsidR="001935CE" w:rsidRPr="001935CE" w:rsidRDefault="001935CE" w:rsidP="001935CE">
            <w:pPr>
              <w:rPr>
                <w:color w:val="000000"/>
                <w:szCs w:val="20"/>
              </w:rPr>
            </w:pPr>
            <w:r>
              <w:rPr>
                <w:color w:val="000000"/>
              </w:rPr>
              <w:t>Lorsqu’un vendeur ou un fournisseur dispose d’un stock suffisant, il doit être en mesure de fournir la bonne quantité au bon moment. </w:t>
            </w:r>
          </w:p>
        </w:tc>
      </w:tr>
      <w:tr w:rsidR="001935CE" w:rsidRPr="001935CE" w14:paraId="3EB0214E"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749856E2"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34A0049" w14:textId="77777777" w:rsidR="001935CE" w:rsidRPr="001935CE" w:rsidRDefault="001935CE" w:rsidP="001935CE">
            <w:pPr>
              <w:rPr>
                <w:b/>
                <w:bCs/>
                <w:color w:val="000000"/>
                <w:sz w:val="22"/>
                <w:szCs w:val="22"/>
              </w:rPr>
            </w:pPr>
            <w:r>
              <w:rPr>
                <w:b/>
                <w:color w:val="000000"/>
                <w:sz w:val="22"/>
              </w:rPr>
              <w:t>Qualité</w:t>
            </w:r>
          </w:p>
        </w:tc>
        <w:tc>
          <w:tcPr>
            <w:tcW w:w="7180" w:type="dxa"/>
            <w:tcBorders>
              <w:top w:val="nil"/>
              <w:left w:val="nil"/>
              <w:bottom w:val="single" w:sz="4" w:space="0" w:color="BFBFBF"/>
              <w:right w:val="single" w:sz="4" w:space="0" w:color="BFBFBF"/>
            </w:tcBorders>
            <w:shd w:val="clear" w:color="auto" w:fill="auto"/>
            <w:vAlign w:val="center"/>
            <w:hideMark/>
          </w:tcPr>
          <w:p w14:paraId="18F9B562" w14:textId="77777777" w:rsidR="001935CE" w:rsidRPr="001935CE" w:rsidRDefault="001935CE" w:rsidP="001935CE">
            <w:pPr>
              <w:rPr>
                <w:color w:val="000000"/>
                <w:szCs w:val="20"/>
              </w:rPr>
            </w:pPr>
            <w:r>
              <w:rPr>
                <w:color w:val="000000"/>
              </w:rPr>
              <w:t>Les contrôles de qualité sont essentiels à la réussite d’un contrat.</w:t>
            </w:r>
          </w:p>
        </w:tc>
      </w:tr>
      <w:tr w:rsidR="001935CE" w:rsidRPr="001935CE" w14:paraId="23E6AE73"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5FA89B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7782569F" w14:textId="77777777" w:rsidR="001935CE" w:rsidRPr="001935CE" w:rsidRDefault="001935CE" w:rsidP="001935CE">
            <w:pPr>
              <w:rPr>
                <w:b/>
                <w:bCs/>
                <w:color w:val="000000"/>
                <w:sz w:val="22"/>
                <w:szCs w:val="22"/>
              </w:rPr>
            </w:pPr>
            <w:r>
              <w:rPr>
                <w:b/>
                <w:color w:val="000000"/>
                <w:sz w:val="22"/>
              </w:rPr>
              <w:t>Opérations</w:t>
            </w:r>
          </w:p>
        </w:tc>
        <w:tc>
          <w:tcPr>
            <w:tcW w:w="7180" w:type="dxa"/>
            <w:tcBorders>
              <w:top w:val="nil"/>
              <w:left w:val="nil"/>
              <w:bottom w:val="single" w:sz="4" w:space="0" w:color="BFBFBF"/>
              <w:right w:val="single" w:sz="4" w:space="0" w:color="BFBFBF"/>
            </w:tcBorders>
            <w:shd w:val="clear" w:color="auto" w:fill="auto"/>
            <w:vAlign w:val="center"/>
            <w:hideMark/>
          </w:tcPr>
          <w:p w14:paraId="5E41F87D" w14:textId="77777777" w:rsidR="001935CE" w:rsidRPr="001935CE" w:rsidRDefault="001935CE" w:rsidP="001935CE">
            <w:pPr>
              <w:rPr>
                <w:color w:val="000000"/>
                <w:szCs w:val="20"/>
              </w:rPr>
            </w:pPr>
            <w:r>
              <w:rPr>
                <w:color w:val="000000"/>
              </w:rPr>
              <w:t>Des opérations disciplinées permettent d’obtenir des livrables dans les temps qui répondent aux spécifications dans la bonne quantité.</w:t>
            </w:r>
          </w:p>
        </w:tc>
      </w:tr>
      <w:tr w:rsidR="001935CE" w:rsidRPr="001935CE" w14:paraId="7169F5D9"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63BF3FDA"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3B017260" w14:textId="77777777" w:rsidR="001935CE" w:rsidRPr="001935CE" w:rsidRDefault="001935CE" w:rsidP="001935CE">
            <w:pPr>
              <w:rPr>
                <w:b/>
                <w:bCs/>
                <w:color w:val="000000"/>
                <w:sz w:val="22"/>
                <w:szCs w:val="22"/>
              </w:rPr>
            </w:pPr>
            <w:r>
              <w:rPr>
                <w:b/>
                <w:color w:val="000000"/>
                <w:sz w:val="22"/>
              </w:rPr>
              <w:t>Achats</w:t>
            </w:r>
          </w:p>
        </w:tc>
        <w:tc>
          <w:tcPr>
            <w:tcW w:w="7180" w:type="dxa"/>
            <w:tcBorders>
              <w:top w:val="nil"/>
              <w:left w:val="nil"/>
              <w:bottom w:val="single" w:sz="4" w:space="0" w:color="BFBFBF"/>
              <w:right w:val="single" w:sz="4" w:space="0" w:color="BFBFBF"/>
            </w:tcBorders>
            <w:shd w:val="clear" w:color="auto" w:fill="auto"/>
            <w:vAlign w:val="center"/>
            <w:hideMark/>
          </w:tcPr>
          <w:p w14:paraId="418DA118" w14:textId="77777777" w:rsidR="001935CE" w:rsidRPr="001935CE" w:rsidRDefault="001935CE" w:rsidP="001935CE">
            <w:pPr>
              <w:rPr>
                <w:color w:val="000000"/>
                <w:szCs w:val="20"/>
              </w:rPr>
            </w:pPr>
            <w:r>
              <w:rPr>
                <w:color w:val="000000"/>
              </w:rPr>
              <w:t>Des processus d’approvisionnement efficaces sont essentiels lorsque votre vendeur fait appel à ses fournisseurs clés pour maintenir ses coûts à un niveau raisonnable.</w:t>
            </w:r>
          </w:p>
        </w:tc>
      </w:tr>
      <w:tr w:rsidR="001935CE" w:rsidRPr="001935CE" w14:paraId="255A1671"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90987C3"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4DA9F5F7" w14:textId="34680CED" w:rsidR="001935CE" w:rsidRPr="001935CE" w:rsidRDefault="001935CE" w:rsidP="001935CE">
            <w:pPr>
              <w:rPr>
                <w:b/>
                <w:bCs/>
                <w:color w:val="000000"/>
                <w:sz w:val="22"/>
                <w:szCs w:val="22"/>
              </w:rPr>
            </w:pPr>
            <w:r>
              <w:rPr>
                <w:b/>
                <w:color w:val="000000"/>
                <w:sz w:val="22"/>
              </w:rPr>
              <w:t>Santé, sécurité et environnement (HSE)</w:t>
            </w:r>
          </w:p>
        </w:tc>
        <w:tc>
          <w:tcPr>
            <w:tcW w:w="7180" w:type="dxa"/>
            <w:tcBorders>
              <w:top w:val="nil"/>
              <w:left w:val="nil"/>
              <w:bottom w:val="single" w:sz="4" w:space="0" w:color="BFBFBF"/>
              <w:right w:val="single" w:sz="4" w:space="0" w:color="BFBFBF"/>
            </w:tcBorders>
            <w:shd w:val="clear" w:color="auto" w:fill="auto"/>
            <w:vAlign w:val="center"/>
            <w:hideMark/>
          </w:tcPr>
          <w:p w14:paraId="0C4DF26E" w14:textId="77777777" w:rsidR="001935CE" w:rsidRPr="001935CE" w:rsidRDefault="001935CE" w:rsidP="001935CE">
            <w:pPr>
              <w:rPr>
                <w:color w:val="000000"/>
                <w:szCs w:val="20"/>
              </w:rPr>
            </w:pPr>
            <w:r>
              <w:rPr>
                <w:color w:val="000000"/>
              </w:rPr>
              <w:t>Vérifiez l’existence de systèmes et de procédures solides, ainsi qu’un excellent dossier en matière de sécurité, qui témoignent d’une responsabilité sociale et d’un lieu de travail qui motive le personnel et renforce le moral.</w:t>
            </w:r>
          </w:p>
        </w:tc>
      </w:tr>
    </w:tbl>
    <w:p w14:paraId="0C1BB489" w14:textId="77777777" w:rsidR="009D2213" w:rsidRDefault="009D2213"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2832B2AE"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1DE9AA30" w14:textId="77777777" w:rsidR="001935CE" w:rsidRPr="001935CE" w:rsidRDefault="001935CE" w:rsidP="001935CE">
            <w:pPr>
              <w:ind w:hanging="109"/>
              <w:rPr>
                <w:color w:val="000000"/>
                <w:sz w:val="30"/>
                <w:szCs w:val="30"/>
              </w:rPr>
            </w:pPr>
            <w:r>
              <w:rPr>
                <w:color w:val="000000"/>
                <w:sz w:val="30"/>
              </w:rPr>
              <w:t>CLEAR (Responsabilité sociale d’entreprise)</w:t>
            </w:r>
          </w:p>
        </w:tc>
      </w:tr>
      <w:tr w:rsidR="001935CE" w:rsidRPr="001935CE" w14:paraId="25BACEAC"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BFD7C60"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06994D70"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423C7E01" w14:textId="77777777" w:rsidR="001935CE" w:rsidRPr="001935CE" w:rsidRDefault="001935CE" w:rsidP="001935CE">
            <w:pPr>
              <w:rPr>
                <w:b/>
                <w:bCs/>
                <w:color w:val="000000"/>
                <w:szCs w:val="20"/>
              </w:rPr>
            </w:pPr>
            <w:r>
              <w:rPr>
                <w:b/>
                <w:color w:val="000000"/>
              </w:rPr>
              <w:t>ACTION</w:t>
            </w:r>
          </w:p>
        </w:tc>
      </w:tr>
      <w:tr w:rsidR="001935CE" w:rsidRPr="001935CE" w14:paraId="410E1BEC" w14:textId="77777777" w:rsidTr="001935CE">
        <w:trPr>
          <w:trHeight w:val="10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A975BF4"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6BAF4D58" w14:textId="77777777" w:rsidR="001935CE" w:rsidRPr="001935CE" w:rsidRDefault="001935CE" w:rsidP="001935CE">
            <w:pPr>
              <w:rPr>
                <w:b/>
                <w:bCs/>
                <w:color w:val="000000"/>
                <w:sz w:val="22"/>
                <w:szCs w:val="22"/>
              </w:rPr>
            </w:pPr>
            <w:r>
              <w:rPr>
                <w:b/>
                <w:color w:val="000000"/>
                <w:sz w:val="22"/>
              </w:rPr>
              <w:t>Respect des normes éthiques et juridiques</w:t>
            </w:r>
          </w:p>
        </w:tc>
        <w:tc>
          <w:tcPr>
            <w:tcW w:w="7180" w:type="dxa"/>
            <w:tcBorders>
              <w:top w:val="nil"/>
              <w:left w:val="nil"/>
              <w:bottom w:val="single" w:sz="4" w:space="0" w:color="BFBFBF"/>
              <w:right w:val="single" w:sz="4" w:space="0" w:color="BFBFBF"/>
            </w:tcBorders>
            <w:shd w:val="clear" w:color="auto" w:fill="auto"/>
            <w:vAlign w:val="center"/>
            <w:hideMark/>
          </w:tcPr>
          <w:p w14:paraId="3F372187" w14:textId="77777777" w:rsidR="001935CE" w:rsidRPr="001935CE" w:rsidRDefault="001935CE" w:rsidP="001935CE">
            <w:pPr>
              <w:rPr>
                <w:color w:val="000000"/>
                <w:szCs w:val="20"/>
              </w:rPr>
            </w:pPr>
            <w:r>
              <w:rPr>
                <w:color w:val="000000"/>
              </w:rPr>
              <w:t>Les produits et services doivent répondre aux exigences législatives. Les preuves de conformité peuvent inclure des politiques et des processus visant à fournir des bonnes pratiques éthiques, des médias ou des commentaires positifs, ou de bonnes notes des agences du secteur.</w:t>
            </w:r>
          </w:p>
        </w:tc>
      </w:tr>
    </w:tbl>
    <w:p w14:paraId="55520B71" w14:textId="77777777" w:rsidR="001935CE" w:rsidRDefault="001935CE" w:rsidP="00D60F8B">
      <w:pPr>
        <w:spacing w:line="276" w:lineRule="auto"/>
        <w:rPr>
          <w:sz w:val="18"/>
          <w:szCs w:val="18"/>
        </w:rPr>
      </w:pPr>
    </w:p>
    <w:tbl>
      <w:tblPr>
        <w:tblW w:w="11000" w:type="dxa"/>
        <w:tblLook w:val="04A0" w:firstRow="1" w:lastRow="0" w:firstColumn="1" w:lastColumn="0" w:noHBand="0" w:noVBand="1"/>
      </w:tblPr>
      <w:tblGrid>
        <w:gridCol w:w="700"/>
        <w:gridCol w:w="3120"/>
        <w:gridCol w:w="7180"/>
      </w:tblGrid>
      <w:tr w:rsidR="001935CE" w:rsidRPr="001935CE" w14:paraId="28A42030" w14:textId="77777777" w:rsidTr="001935CE">
        <w:trPr>
          <w:trHeight w:val="500"/>
        </w:trPr>
        <w:tc>
          <w:tcPr>
            <w:tcW w:w="11000" w:type="dxa"/>
            <w:gridSpan w:val="3"/>
            <w:tcBorders>
              <w:top w:val="nil"/>
              <w:left w:val="nil"/>
              <w:bottom w:val="single" w:sz="12" w:space="0" w:color="BFBFBF"/>
              <w:right w:val="nil"/>
            </w:tcBorders>
            <w:shd w:val="clear" w:color="auto" w:fill="auto"/>
            <w:noWrap/>
            <w:vAlign w:val="center"/>
            <w:hideMark/>
          </w:tcPr>
          <w:p w14:paraId="478DDEAB" w14:textId="77777777" w:rsidR="001935CE" w:rsidRPr="001935CE" w:rsidRDefault="001935CE" w:rsidP="001935CE">
            <w:pPr>
              <w:ind w:left="-109"/>
              <w:rPr>
                <w:color w:val="000000"/>
                <w:sz w:val="30"/>
                <w:szCs w:val="30"/>
              </w:rPr>
            </w:pPr>
            <w:r>
              <w:rPr>
                <w:color w:val="000000"/>
                <w:sz w:val="30"/>
              </w:rPr>
              <w:t>CULTURE</w:t>
            </w:r>
          </w:p>
        </w:tc>
      </w:tr>
      <w:tr w:rsidR="001935CE" w:rsidRPr="001935CE" w14:paraId="74D0E6A3" w14:textId="77777777" w:rsidTr="001935CE">
        <w:trPr>
          <w:trHeight w:val="500"/>
        </w:trPr>
        <w:tc>
          <w:tcPr>
            <w:tcW w:w="700" w:type="dxa"/>
            <w:tcBorders>
              <w:top w:val="nil"/>
              <w:left w:val="single" w:sz="4" w:space="0" w:color="BFBFBF"/>
              <w:bottom w:val="single" w:sz="4" w:space="0" w:color="BFBFBF"/>
              <w:right w:val="single" w:sz="4" w:space="0" w:color="BFBFBF"/>
            </w:tcBorders>
            <w:shd w:val="clear" w:color="000000" w:fill="D6DCE4"/>
            <w:vAlign w:val="center"/>
            <w:hideMark/>
          </w:tcPr>
          <w:p w14:paraId="3B7391A7" w14:textId="77777777" w:rsidR="001935CE" w:rsidRPr="001935CE" w:rsidRDefault="001935CE" w:rsidP="001935CE">
            <w:pPr>
              <w:jc w:val="center"/>
              <w:rPr>
                <w:b/>
                <w:bCs/>
                <w:color w:val="000000"/>
                <w:szCs w:val="20"/>
              </w:rPr>
            </w:pPr>
            <w:r>
              <w:rPr>
                <w:b/>
                <w:color w:val="000000"/>
              </w:rPr>
              <w:t>X</w:t>
            </w:r>
          </w:p>
        </w:tc>
        <w:tc>
          <w:tcPr>
            <w:tcW w:w="3120" w:type="dxa"/>
            <w:tcBorders>
              <w:top w:val="nil"/>
              <w:left w:val="nil"/>
              <w:bottom w:val="single" w:sz="4" w:space="0" w:color="BFBFBF"/>
              <w:right w:val="single" w:sz="4" w:space="0" w:color="BFBFBF"/>
            </w:tcBorders>
            <w:shd w:val="clear" w:color="000000" w:fill="D6DCE4"/>
            <w:vAlign w:val="center"/>
            <w:hideMark/>
          </w:tcPr>
          <w:p w14:paraId="5BA780B1" w14:textId="77777777" w:rsidR="001935CE" w:rsidRPr="001935CE" w:rsidRDefault="001935CE" w:rsidP="001935CE">
            <w:pPr>
              <w:rPr>
                <w:b/>
                <w:bCs/>
                <w:color w:val="000000"/>
                <w:szCs w:val="20"/>
              </w:rPr>
            </w:pPr>
            <w:r>
              <w:rPr>
                <w:b/>
                <w:color w:val="000000"/>
              </w:rPr>
              <w:t>CRITÈRES</w:t>
            </w:r>
          </w:p>
        </w:tc>
        <w:tc>
          <w:tcPr>
            <w:tcW w:w="7180" w:type="dxa"/>
            <w:tcBorders>
              <w:top w:val="nil"/>
              <w:left w:val="nil"/>
              <w:bottom w:val="single" w:sz="4" w:space="0" w:color="BFBFBF"/>
              <w:right w:val="single" w:sz="4" w:space="0" w:color="BFBFBF"/>
            </w:tcBorders>
            <w:shd w:val="clear" w:color="000000" w:fill="D9D9D9"/>
            <w:vAlign w:val="center"/>
            <w:hideMark/>
          </w:tcPr>
          <w:p w14:paraId="4400FC03" w14:textId="77777777" w:rsidR="001935CE" w:rsidRPr="001935CE" w:rsidRDefault="001935CE" w:rsidP="001935CE">
            <w:pPr>
              <w:rPr>
                <w:b/>
                <w:bCs/>
                <w:color w:val="000000"/>
                <w:szCs w:val="20"/>
              </w:rPr>
            </w:pPr>
            <w:r>
              <w:rPr>
                <w:b/>
                <w:color w:val="000000"/>
              </w:rPr>
              <w:t>ACTION</w:t>
            </w:r>
          </w:p>
        </w:tc>
      </w:tr>
      <w:tr w:rsidR="001935CE" w:rsidRPr="001935CE" w14:paraId="161D896C"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D2CFC78"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11DE47CF" w14:textId="77777777" w:rsidR="001935CE" w:rsidRPr="001935CE" w:rsidRDefault="001935CE" w:rsidP="001935CE">
            <w:pPr>
              <w:rPr>
                <w:b/>
                <w:bCs/>
                <w:color w:val="000000"/>
                <w:sz w:val="22"/>
                <w:szCs w:val="22"/>
              </w:rPr>
            </w:pPr>
            <w:r>
              <w:rPr>
                <w:b/>
                <w:color w:val="000000"/>
                <w:sz w:val="22"/>
              </w:rPr>
              <w:t>Valeurs </w:t>
            </w:r>
          </w:p>
        </w:tc>
        <w:tc>
          <w:tcPr>
            <w:tcW w:w="7180" w:type="dxa"/>
            <w:tcBorders>
              <w:top w:val="nil"/>
              <w:left w:val="nil"/>
              <w:bottom w:val="single" w:sz="4" w:space="0" w:color="BFBFBF"/>
              <w:right w:val="single" w:sz="4" w:space="0" w:color="BFBFBF"/>
            </w:tcBorders>
            <w:shd w:val="clear" w:color="auto" w:fill="auto"/>
            <w:vAlign w:val="center"/>
            <w:hideMark/>
          </w:tcPr>
          <w:p w14:paraId="17759D3A" w14:textId="77777777" w:rsidR="001935CE" w:rsidRPr="001935CE" w:rsidRDefault="007F79A3" w:rsidP="001935CE">
            <w:pPr>
              <w:rPr>
                <w:color w:val="000000"/>
                <w:szCs w:val="20"/>
              </w:rPr>
            </w:pPr>
            <w:r>
              <w:rPr>
                <w:color w:val="000000"/>
              </w:rPr>
              <w:t>Une relation saine peut favoriser un partenariat à long terme et durable qui apporte une valeur ajoutée aux deux parties.</w:t>
            </w:r>
          </w:p>
        </w:tc>
      </w:tr>
      <w:tr w:rsidR="001935CE" w:rsidRPr="001935CE" w14:paraId="3EA70743" w14:textId="77777777" w:rsidTr="001935CE">
        <w:trPr>
          <w:trHeight w:val="700"/>
        </w:trPr>
        <w:tc>
          <w:tcPr>
            <w:tcW w:w="700" w:type="dxa"/>
            <w:tcBorders>
              <w:top w:val="nil"/>
              <w:left w:val="single" w:sz="4" w:space="0" w:color="BFBFBF"/>
              <w:bottom w:val="single" w:sz="4" w:space="0" w:color="BFBFBF"/>
              <w:right w:val="single" w:sz="4" w:space="0" w:color="BFBFBF"/>
            </w:tcBorders>
            <w:shd w:val="clear" w:color="000000" w:fill="EAEEF3"/>
            <w:noWrap/>
            <w:vAlign w:val="center"/>
            <w:hideMark/>
          </w:tcPr>
          <w:p w14:paraId="062DB56D" w14:textId="77777777" w:rsidR="001935CE" w:rsidRPr="001935CE" w:rsidRDefault="001935CE" w:rsidP="001935CE">
            <w:pPr>
              <w:jc w:val="center"/>
              <w:rPr>
                <w:color w:val="000000"/>
                <w:szCs w:val="20"/>
              </w:rPr>
            </w:pPr>
            <w:r>
              <w:rPr>
                <w:color w:val="000000"/>
              </w:rPr>
              <w:t> </w:t>
            </w:r>
          </w:p>
        </w:tc>
        <w:tc>
          <w:tcPr>
            <w:tcW w:w="3120" w:type="dxa"/>
            <w:tcBorders>
              <w:top w:val="nil"/>
              <w:left w:val="nil"/>
              <w:bottom w:val="single" w:sz="4" w:space="0" w:color="BFBFBF"/>
              <w:right w:val="single" w:sz="4" w:space="0" w:color="BFBFBF"/>
            </w:tcBorders>
            <w:shd w:val="clear" w:color="000000" w:fill="F7F9FB"/>
            <w:vAlign w:val="center"/>
            <w:hideMark/>
          </w:tcPr>
          <w:p w14:paraId="2295CB20" w14:textId="77777777" w:rsidR="001935CE" w:rsidRPr="001935CE" w:rsidRDefault="001935CE" w:rsidP="001935CE">
            <w:pPr>
              <w:rPr>
                <w:b/>
                <w:bCs/>
                <w:color w:val="000000"/>
                <w:sz w:val="22"/>
                <w:szCs w:val="22"/>
              </w:rPr>
            </w:pPr>
            <w:r>
              <w:rPr>
                <w:b/>
                <w:color w:val="000000"/>
                <w:sz w:val="22"/>
              </w:rPr>
              <w:t>Comprendre les moteurs de l’entreprise</w:t>
            </w:r>
          </w:p>
        </w:tc>
        <w:tc>
          <w:tcPr>
            <w:tcW w:w="7180" w:type="dxa"/>
            <w:tcBorders>
              <w:top w:val="nil"/>
              <w:left w:val="nil"/>
              <w:bottom w:val="single" w:sz="4" w:space="0" w:color="BFBFBF"/>
              <w:right w:val="single" w:sz="4" w:space="0" w:color="BFBFBF"/>
            </w:tcBorders>
            <w:shd w:val="clear" w:color="auto" w:fill="auto"/>
            <w:vAlign w:val="center"/>
            <w:hideMark/>
          </w:tcPr>
          <w:p w14:paraId="679E4AC3" w14:textId="77777777" w:rsidR="001935CE" w:rsidRPr="001935CE" w:rsidRDefault="001935CE" w:rsidP="001935CE">
            <w:pPr>
              <w:rPr>
                <w:color w:val="000000"/>
                <w:szCs w:val="20"/>
              </w:rPr>
            </w:pPr>
            <w:r>
              <w:rPr>
                <w:color w:val="000000"/>
              </w:rPr>
              <w:t>Un partenaire doit comprendre ce qui a un impact sur votre entreprise, de l’environnement concurrentiel aux dernières innovations.</w:t>
            </w:r>
          </w:p>
        </w:tc>
      </w:tr>
    </w:tbl>
    <w:p w14:paraId="28CE68D0" w14:textId="77777777" w:rsidR="001935CE" w:rsidRDefault="001935CE" w:rsidP="00D60F8B">
      <w:pPr>
        <w:spacing w:line="276" w:lineRule="auto"/>
        <w:rPr>
          <w:sz w:val="18"/>
          <w:szCs w:val="18"/>
        </w:rPr>
        <w:sectPr w:rsidR="001935CE" w:rsidSect="00103ACA">
          <w:pgSz w:w="12240" w:h="15840"/>
          <w:pgMar w:top="576" w:right="504" w:bottom="576" w:left="621" w:header="720" w:footer="518" w:gutter="0"/>
          <w:cols w:space="720"/>
          <w:titlePg/>
          <w:docGrid w:linePitch="360"/>
        </w:sectPr>
      </w:pPr>
    </w:p>
    <w:p w14:paraId="1197B461" w14:textId="77777777" w:rsidR="00656A22" w:rsidRDefault="00656A22" w:rsidP="00656A22">
      <w:pPr>
        <w:rPr>
          <w:rFonts w:ascii="Times New Roman" w:hAnsi="Times New Roman"/>
          <w:sz w:val="24"/>
        </w:rPr>
      </w:pPr>
    </w:p>
    <w:p w14:paraId="03EFA54A" w14:textId="77777777" w:rsidR="00E14B37" w:rsidRPr="00656A22" w:rsidRDefault="00E14B37" w:rsidP="00656A22">
      <w:pPr>
        <w:rPr>
          <w:rFonts w:ascii="Times New Roman" w:hAnsi="Times New Roman"/>
          <w:sz w:val="24"/>
        </w:rPr>
      </w:pPr>
    </w:p>
    <w:p w14:paraId="1BA4B644" w14:textId="77777777" w:rsidR="00C81141" w:rsidRPr="003D706E" w:rsidRDefault="00C81141" w:rsidP="001032AD">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67D3339D" w14:textId="77777777" w:rsidTr="00F93F68">
        <w:trPr>
          <w:trHeight w:val="3168"/>
        </w:trPr>
        <w:tc>
          <w:tcPr>
            <w:tcW w:w="10147" w:type="dxa"/>
          </w:tcPr>
          <w:p w14:paraId="18F112E4" w14:textId="77777777" w:rsidR="00A255C6" w:rsidRDefault="00A255C6" w:rsidP="001032AD">
            <w:pPr>
              <w:jc w:val="center"/>
              <w:rPr>
                <w:rFonts w:cs="Arial"/>
                <w:b/>
                <w:color w:val="000000" w:themeColor="text1"/>
                <w:sz w:val="20"/>
                <w:szCs w:val="20"/>
              </w:rPr>
            </w:pPr>
          </w:p>
          <w:p w14:paraId="736E738A" w14:textId="77777777" w:rsidR="00FF51C2" w:rsidRPr="003D706E" w:rsidRDefault="00FF51C2" w:rsidP="001032AD">
            <w:pPr>
              <w:jc w:val="center"/>
              <w:rPr>
                <w:rFonts w:cs="Arial"/>
                <w:b/>
                <w:color w:val="000000" w:themeColor="text1"/>
                <w:sz w:val="20"/>
                <w:szCs w:val="20"/>
              </w:rPr>
            </w:pPr>
            <w:r>
              <w:rPr>
                <w:b/>
                <w:color w:val="000000" w:themeColor="text1"/>
                <w:sz w:val="20"/>
              </w:rPr>
              <w:t>EXCLUSION DE RESPONSABILITÉ</w:t>
            </w:r>
          </w:p>
          <w:p w14:paraId="6F53769B" w14:textId="77777777" w:rsidR="00FF51C2" w:rsidRPr="001546C7" w:rsidRDefault="00FF51C2" w:rsidP="001032AD">
            <w:pPr>
              <w:spacing w:line="276" w:lineRule="auto"/>
              <w:rPr>
                <w:rFonts w:cs="Arial"/>
                <w:color w:val="000000" w:themeColor="text1"/>
                <w:sz w:val="21"/>
                <w:szCs w:val="18"/>
              </w:rPr>
            </w:pPr>
          </w:p>
          <w:p w14:paraId="6FFA13B7" w14:textId="77777777" w:rsidR="00FF51C2" w:rsidRPr="003D706E" w:rsidRDefault="00FF51C2" w:rsidP="001032AD">
            <w:pPr>
              <w:spacing w:line="276" w:lineRule="auto"/>
              <w:rPr>
                <w:rFonts w:cs="Arial"/>
                <w:color w:val="000000" w:themeColor="text1"/>
                <w:sz w:val="20"/>
                <w:szCs w:val="20"/>
              </w:rPr>
            </w:pPr>
            <w:r>
              <w:rPr>
                <w:color w:val="000000" w:themeColor="text1"/>
                <w:sz w:val="21"/>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2C6FE9AD" w14:textId="77777777" w:rsidR="006B5ECE" w:rsidRDefault="006B5ECE" w:rsidP="001032AD">
      <w:pPr>
        <w:rPr>
          <w:b/>
          <w:color w:val="000000" w:themeColor="text1"/>
          <w:sz w:val="32"/>
          <w:szCs w:val="44"/>
        </w:rPr>
      </w:pPr>
    </w:p>
    <w:p w14:paraId="5C644AF1" w14:textId="77777777" w:rsidR="00473A9E" w:rsidRDefault="00473A9E" w:rsidP="001032AD">
      <w:pPr>
        <w:rPr>
          <w:b/>
          <w:color w:val="000000" w:themeColor="text1"/>
          <w:sz w:val="32"/>
          <w:szCs w:val="44"/>
        </w:rPr>
      </w:pPr>
    </w:p>
    <w:p w14:paraId="0E9BE921"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3D27" w14:textId="77777777" w:rsidR="007E1462" w:rsidRDefault="007E1462" w:rsidP="00F36FE0">
      <w:r>
        <w:separator/>
      </w:r>
    </w:p>
  </w:endnote>
  <w:endnote w:type="continuationSeparator" w:id="0">
    <w:p w14:paraId="7A10BBE1" w14:textId="77777777" w:rsidR="007E1462" w:rsidRDefault="007E146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051A290"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D66A6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068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5148" w14:textId="77777777" w:rsidR="007E1462" w:rsidRDefault="007E1462" w:rsidP="00F36FE0">
      <w:r>
        <w:separator/>
      </w:r>
    </w:p>
  </w:footnote>
  <w:footnote w:type="continuationSeparator" w:id="0">
    <w:p w14:paraId="680C886A" w14:textId="77777777" w:rsidR="007E1462" w:rsidRDefault="007E146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7D22"/>
    <w:multiLevelType w:val="hybridMultilevel"/>
    <w:tmpl w:val="B6FEA05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55910078">
    <w:abstractNumId w:val="9"/>
  </w:num>
  <w:num w:numId="2" w16cid:durableId="1002201923">
    <w:abstractNumId w:val="8"/>
  </w:num>
  <w:num w:numId="3" w16cid:durableId="1756784573">
    <w:abstractNumId w:val="7"/>
  </w:num>
  <w:num w:numId="4" w16cid:durableId="193006071">
    <w:abstractNumId w:val="6"/>
  </w:num>
  <w:num w:numId="5" w16cid:durableId="1400178447">
    <w:abstractNumId w:val="5"/>
  </w:num>
  <w:num w:numId="6" w16cid:durableId="126708802">
    <w:abstractNumId w:val="4"/>
  </w:num>
  <w:num w:numId="7" w16cid:durableId="647827684">
    <w:abstractNumId w:val="3"/>
  </w:num>
  <w:num w:numId="8" w16cid:durableId="254486794">
    <w:abstractNumId w:val="2"/>
  </w:num>
  <w:num w:numId="9" w16cid:durableId="1861161206">
    <w:abstractNumId w:val="1"/>
  </w:num>
  <w:num w:numId="10" w16cid:durableId="780758113">
    <w:abstractNumId w:val="0"/>
  </w:num>
  <w:num w:numId="11" w16cid:durableId="1889025165">
    <w:abstractNumId w:val="27"/>
  </w:num>
  <w:num w:numId="12" w16cid:durableId="509105316">
    <w:abstractNumId w:val="41"/>
  </w:num>
  <w:num w:numId="13" w16cid:durableId="1636181528">
    <w:abstractNumId w:val="39"/>
  </w:num>
  <w:num w:numId="14" w16cid:durableId="809788392">
    <w:abstractNumId w:val="21"/>
  </w:num>
  <w:num w:numId="15" w16cid:durableId="1192302163">
    <w:abstractNumId w:val="15"/>
  </w:num>
  <w:num w:numId="16" w16cid:durableId="618032530">
    <w:abstractNumId w:val="26"/>
  </w:num>
  <w:num w:numId="17" w16cid:durableId="485516849">
    <w:abstractNumId w:val="33"/>
  </w:num>
  <w:num w:numId="18" w16cid:durableId="529028009">
    <w:abstractNumId w:val="19"/>
  </w:num>
  <w:num w:numId="19" w16cid:durableId="2054958921">
    <w:abstractNumId w:val="17"/>
  </w:num>
  <w:num w:numId="20" w16cid:durableId="654802385">
    <w:abstractNumId w:val="34"/>
  </w:num>
  <w:num w:numId="21" w16cid:durableId="2047676561">
    <w:abstractNumId w:val="18"/>
  </w:num>
  <w:num w:numId="22" w16cid:durableId="837505877">
    <w:abstractNumId w:val="31"/>
  </w:num>
  <w:num w:numId="23" w16cid:durableId="1224950136">
    <w:abstractNumId w:val="42"/>
  </w:num>
  <w:num w:numId="24" w16cid:durableId="219097386">
    <w:abstractNumId w:val="38"/>
  </w:num>
  <w:num w:numId="25" w16cid:durableId="332226724">
    <w:abstractNumId w:val="14"/>
  </w:num>
  <w:num w:numId="26" w16cid:durableId="2072579368">
    <w:abstractNumId w:val="36"/>
  </w:num>
  <w:num w:numId="27" w16cid:durableId="762533357">
    <w:abstractNumId w:val="13"/>
  </w:num>
  <w:num w:numId="28" w16cid:durableId="1062946156">
    <w:abstractNumId w:val="30"/>
  </w:num>
  <w:num w:numId="29" w16cid:durableId="1822848844">
    <w:abstractNumId w:val="23"/>
  </w:num>
  <w:num w:numId="30" w16cid:durableId="1104498283">
    <w:abstractNumId w:val="22"/>
  </w:num>
  <w:num w:numId="31" w16cid:durableId="1616407257">
    <w:abstractNumId w:val="32"/>
  </w:num>
  <w:num w:numId="32" w16cid:durableId="1895772626">
    <w:abstractNumId w:val="16"/>
  </w:num>
  <w:num w:numId="33" w16cid:durableId="737435677">
    <w:abstractNumId w:val="40"/>
  </w:num>
  <w:num w:numId="34" w16cid:durableId="1644002822">
    <w:abstractNumId w:val="11"/>
  </w:num>
  <w:num w:numId="35" w16cid:durableId="1484199558">
    <w:abstractNumId w:val="37"/>
  </w:num>
  <w:num w:numId="36" w16cid:durableId="2015105842">
    <w:abstractNumId w:val="25"/>
  </w:num>
  <w:num w:numId="37" w16cid:durableId="2010406144">
    <w:abstractNumId w:val="43"/>
  </w:num>
  <w:num w:numId="38" w16cid:durableId="1233194613">
    <w:abstractNumId w:val="20"/>
  </w:num>
  <w:num w:numId="39" w16cid:durableId="1297564708">
    <w:abstractNumId w:val="12"/>
  </w:num>
  <w:num w:numId="40" w16cid:durableId="930119309">
    <w:abstractNumId w:val="24"/>
  </w:num>
  <w:num w:numId="41" w16cid:durableId="1326130811">
    <w:abstractNumId w:val="28"/>
  </w:num>
  <w:num w:numId="42" w16cid:durableId="106699902">
    <w:abstractNumId w:val="29"/>
  </w:num>
  <w:num w:numId="43" w16cid:durableId="617299784">
    <w:abstractNumId w:val="35"/>
  </w:num>
  <w:num w:numId="44" w16cid:durableId="544483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BF"/>
    <w:rsid w:val="000013C8"/>
    <w:rsid w:val="00016F6D"/>
    <w:rsid w:val="00023D27"/>
    <w:rsid w:val="00031AF7"/>
    <w:rsid w:val="000323E9"/>
    <w:rsid w:val="00036FF2"/>
    <w:rsid w:val="00037939"/>
    <w:rsid w:val="000413A5"/>
    <w:rsid w:val="00070153"/>
    <w:rsid w:val="000805F5"/>
    <w:rsid w:val="000A6F11"/>
    <w:rsid w:val="000B2B4E"/>
    <w:rsid w:val="000B3AA5"/>
    <w:rsid w:val="000C02F8"/>
    <w:rsid w:val="000C4DD4"/>
    <w:rsid w:val="000C5A84"/>
    <w:rsid w:val="000D5F7F"/>
    <w:rsid w:val="000D7482"/>
    <w:rsid w:val="000E6090"/>
    <w:rsid w:val="000E7AF5"/>
    <w:rsid w:val="000F1D44"/>
    <w:rsid w:val="00102924"/>
    <w:rsid w:val="00102C82"/>
    <w:rsid w:val="001032AD"/>
    <w:rsid w:val="00103ACA"/>
    <w:rsid w:val="00104C09"/>
    <w:rsid w:val="0011091C"/>
    <w:rsid w:val="00111C4F"/>
    <w:rsid w:val="00121D51"/>
    <w:rsid w:val="001304C4"/>
    <w:rsid w:val="00133BBE"/>
    <w:rsid w:val="001472A1"/>
    <w:rsid w:val="00150B91"/>
    <w:rsid w:val="001546C7"/>
    <w:rsid w:val="0016036A"/>
    <w:rsid w:val="00172EE8"/>
    <w:rsid w:val="001756CC"/>
    <w:rsid w:val="001931C4"/>
    <w:rsid w:val="001935CE"/>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D6F0A"/>
    <w:rsid w:val="002E4181"/>
    <w:rsid w:val="002E4407"/>
    <w:rsid w:val="002E6F63"/>
    <w:rsid w:val="002F2C0D"/>
    <w:rsid w:val="002F39CD"/>
    <w:rsid w:val="003010BA"/>
    <w:rsid w:val="00303C60"/>
    <w:rsid w:val="00321387"/>
    <w:rsid w:val="00332DF6"/>
    <w:rsid w:val="003457E6"/>
    <w:rsid w:val="00345B4E"/>
    <w:rsid w:val="0036595F"/>
    <w:rsid w:val="003758D7"/>
    <w:rsid w:val="003804ED"/>
    <w:rsid w:val="00383420"/>
    <w:rsid w:val="00385C71"/>
    <w:rsid w:val="00394B27"/>
    <w:rsid w:val="00394B8A"/>
    <w:rsid w:val="00395D13"/>
    <w:rsid w:val="003A704D"/>
    <w:rsid w:val="003B1ABE"/>
    <w:rsid w:val="003B49F7"/>
    <w:rsid w:val="003B6303"/>
    <w:rsid w:val="003C4C3E"/>
    <w:rsid w:val="003D220F"/>
    <w:rsid w:val="003D28EE"/>
    <w:rsid w:val="003D706E"/>
    <w:rsid w:val="003D7E76"/>
    <w:rsid w:val="003E0399"/>
    <w:rsid w:val="003E7A75"/>
    <w:rsid w:val="003F0CB7"/>
    <w:rsid w:val="003F787D"/>
    <w:rsid w:val="00410F08"/>
    <w:rsid w:val="004144C3"/>
    <w:rsid w:val="00422668"/>
    <w:rsid w:val="00435FA1"/>
    <w:rsid w:val="0044265D"/>
    <w:rsid w:val="00451C33"/>
    <w:rsid w:val="0045552B"/>
    <w:rsid w:val="0046242A"/>
    <w:rsid w:val="004654F9"/>
    <w:rsid w:val="004674F6"/>
    <w:rsid w:val="00473A9E"/>
    <w:rsid w:val="00482909"/>
    <w:rsid w:val="00490097"/>
    <w:rsid w:val="00491059"/>
    <w:rsid w:val="00492BF1"/>
    <w:rsid w:val="00493BCE"/>
    <w:rsid w:val="004952F9"/>
    <w:rsid w:val="004B4C32"/>
    <w:rsid w:val="004D59AF"/>
    <w:rsid w:val="004E520B"/>
    <w:rsid w:val="004E59C7"/>
    <w:rsid w:val="004E64B8"/>
    <w:rsid w:val="004E7C78"/>
    <w:rsid w:val="005063BE"/>
    <w:rsid w:val="00507F71"/>
    <w:rsid w:val="00507FF4"/>
    <w:rsid w:val="00531F82"/>
    <w:rsid w:val="005345A7"/>
    <w:rsid w:val="00543EFB"/>
    <w:rsid w:val="00547183"/>
    <w:rsid w:val="00557C38"/>
    <w:rsid w:val="00562EE8"/>
    <w:rsid w:val="00572AEC"/>
    <w:rsid w:val="00574CA2"/>
    <w:rsid w:val="005913EC"/>
    <w:rsid w:val="005921CD"/>
    <w:rsid w:val="005968C0"/>
    <w:rsid w:val="005A2BD6"/>
    <w:rsid w:val="005B7C30"/>
    <w:rsid w:val="005C1013"/>
    <w:rsid w:val="005D0707"/>
    <w:rsid w:val="005F5ABE"/>
    <w:rsid w:val="005F70B0"/>
    <w:rsid w:val="005F7B5D"/>
    <w:rsid w:val="00611447"/>
    <w:rsid w:val="006207F9"/>
    <w:rsid w:val="00623DBE"/>
    <w:rsid w:val="00625319"/>
    <w:rsid w:val="006316D7"/>
    <w:rsid w:val="00637ABC"/>
    <w:rsid w:val="006437C4"/>
    <w:rsid w:val="00656A22"/>
    <w:rsid w:val="00660D04"/>
    <w:rsid w:val="00666161"/>
    <w:rsid w:val="00666651"/>
    <w:rsid w:val="00681EE0"/>
    <w:rsid w:val="00682B27"/>
    <w:rsid w:val="00692165"/>
    <w:rsid w:val="006940BE"/>
    <w:rsid w:val="006950B1"/>
    <w:rsid w:val="006A02AA"/>
    <w:rsid w:val="006B39F0"/>
    <w:rsid w:val="006B4529"/>
    <w:rsid w:val="006B5ECE"/>
    <w:rsid w:val="006B6267"/>
    <w:rsid w:val="006C1052"/>
    <w:rsid w:val="006C3482"/>
    <w:rsid w:val="006C39ED"/>
    <w:rsid w:val="006C66DE"/>
    <w:rsid w:val="006D36F2"/>
    <w:rsid w:val="006D5B35"/>
    <w:rsid w:val="006D6888"/>
    <w:rsid w:val="006E24AA"/>
    <w:rsid w:val="006F2007"/>
    <w:rsid w:val="006F5AC0"/>
    <w:rsid w:val="006F7CEF"/>
    <w:rsid w:val="00714325"/>
    <w:rsid w:val="00744E50"/>
    <w:rsid w:val="00745068"/>
    <w:rsid w:val="00752EDD"/>
    <w:rsid w:val="00756B3B"/>
    <w:rsid w:val="007604F3"/>
    <w:rsid w:val="00774101"/>
    <w:rsid w:val="0078197E"/>
    <w:rsid w:val="00782659"/>
    <w:rsid w:val="00783419"/>
    <w:rsid w:val="00783BAD"/>
    <w:rsid w:val="007940B3"/>
    <w:rsid w:val="007A7401"/>
    <w:rsid w:val="007C0A2F"/>
    <w:rsid w:val="007D0331"/>
    <w:rsid w:val="007D12A9"/>
    <w:rsid w:val="007D181E"/>
    <w:rsid w:val="007E1462"/>
    <w:rsid w:val="007E3DFF"/>
    <w:rsid w:val="007F08AA"/>
    <w:rsid w:val="007F4394"/>
    <w:rsid w:val="007F4423"/>
    <w:rsid w:val="007F79A3"/>
    <w:rsid w:val="00804DF9"/>
    <w:rsid w:val="00813A41"/>
    <w:rsid w:val="0081690B"/>
    <w:rsid w:val="00830077"/>
    <w:rsid w:val="008350B3"/>
    <w:rsid w:val="0085124E"/>
    <w:rsid w:val="00863730"/>
    <w:rsid w:val="008646AE"/>
    <w:rsid w:val="008703DC"/>
    <w:rsid w:val="00895136"/>
    <w:rsid w:val="008A38BB"/>
    <w:rsid w:val="008A59FA"/>
    <w:rsid w:val="008B200C"/>
    <w:rsid w:val="008B4152"/>
    <w:rsid w:val="008B5577"/>
    <w:rsid w:val="008B7C7A"/>
    <w:rsid w:val="008C3ED9"/>
    <w:rsid w:val="008D55D1"/>
    <w:rsid w:val="008F0F82"/>
    <w:rsid w:val="008F73FB"/>
    <w:rsid w:val="008F74B0"/>
    <w:rsid w:val="009016C1"/>
    <w:rsid w:val="009152A8"/>
    <w:rsid w:val="00925A7C"/>
    <w:rsid w:val="00942BD8"/>
    <w:rsid w:val="009462A2"/>
    <w:rsid w:val="00947233"/>
    <w:rsid w:val="00952AB1"/>
    <w:rsid w:val="009541D8"/>
    <w:rsid w:val="00977EFD"/>
    <w:rsid w:val="00982FC4"/>
    <w:rsid w:val="009855C9"/>
    <w:rsid w:val="009A10DA"/>
    <w:rsid w:val="009A140C"/>
    <w:rsid w:val="009A7594"/>
    <w:rsid w:val="009B6FFF"/>
    <w:rsid w:val="009C2E35"/>
    <w:rsid w:val="009C4A98"/>
    <w:rsid w:val="009C6682"/>
    <w:rsid w:val="009D1560"/>
    <w:rsid w:val="009D2213"/>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0D3E"/>
    <w:rsid w:val="00AD6706"/>
    <w:rsid w:val="00AE12B5"/>
    <w:rsid w:val="00AE1A89"/>
    <w:rsid w:val="00AE5CE6"/>
    <w:rsid w:val="00AF01BC"/>
    <w:rsid w:val="00B1033B"/>
    <w:rsid w:val="00B20DBF"/>
    <w:rsid w:val="00B5531F"/>
    <w:rsid w:val="00B6435C"/>
    <w:rsid w:val="00B64FF5"/>
    <w:rsid w:val="00B73F9D"/>
    <w:rsid w:val="00B8487A"/>
    <w:rsid w:val="00B8500C"/>
    <w:rsid w:val="00B91333"/>
    <w:rsid w:val="00B97A54"/>
    <w:rsid w:val="00BA49BD"/>
    <w:rsid w:val="00BB14B7"/>
    <w:rsid w:val="00BC38F6"/>
    <w:rsid w:val="00BC3D1E"/>
    <w:rsid w:val="00BC4CD6"/>
    <w:rsid w:val="00BC4D8D"/>
    <w:rsid w:val="00BC6C6D"/>
    <w:rsid w:val="00BC7F9D"/>
    <w:rsid w:val="00BE5784"/>
    <w:rsid w:val="00BE7123"/>
    <w:rsid w:val="00BF1667"/>
    <w:rsid w:val="00C03596"/>
    <w:rsid w:val="00C12C0B"/>
    <w:rsid w:val="00C14705"/>
    <w:rsid w:val="00C3014C"/>
    <w:rsid w:val="00C32529"/>
    <w:rsid w:val="00C334AF"/>
    <w:rsid w:val="00C52DAA"/>
    <w:rsid w:val="00C74F3F"/>
    <w:rsid w:val="00C81141"/>
    <w:rsid w:val="00C868DE"/>
    <w:rsid w:val="00CA2CD6"/>
    <w:rsid w:val="00CA5E15"/>
    <w:rsid w:val="00CA6F96"/>
    <w:rsid w:val="00CB4DF0"/>
    <w:rsid w:val="00CB5333"/>
    <w:rsid w:val="00CB7FA5"/>
    <w:rsid w:val="00CC2FA9"/>
    <w:rsid w:val="00CD2479"/>
    <w:rsid w:val="00CD76AE"/>
    <w:rsid w:val="00CE48F0"/>
    <w:rsid w:val="00CF4F67"/>
    <w:rsid w:val="00CF7C60"/>
    <w:rsid w:val="00D022DF"/>
    <w:rsid w:val="00D03F68"/>
    <w:rsid w:val="00D0462A"/>
    <w:rsid w:val="00D04BD0"/>
    <w:rsid w:val="00D12B43"/>
    <w:rsid w:val="00D166A3"/>
    <w:rsid w:val="00D2118F"/>
    <w:rsid w:val="00D22A1E"/>
    <w:rsid w:val="00D247D2"/>
    <w:rsid w:val="00D2644E"/>
    <w:rsid w:val="00D26580"/>
    <w:rsid w:val="00D4690E"/>
    <w:rsid w:val="00D53DE2"/>
    <w:rsid w:val="00D60C39"/>
    <w:rsid w:val="00D60F8B"/>
    <w:rsid w:val="00D62ED9"/>
    <w:rsid w:val="00D660EC"/>
    <w:rsid w:val="00D675F4"/>
    <w:rsid w:val="00D82ADF"/>
    <w:rsid w:val="00D90B36"/>
    <w:rsid w:val="00DA44C1"/>
    <w:rsid w:val="00DB11CA"/>
    <w:rsid w:val="00DB1AE1"/>
    <w:rsid w:val="00DC0582"/>
    <w:rsid w:val="00DE1475"/>
    <w:rsid w:val="00E0014C"/>
    <w:rsid w:val="00E06662"/>
    <w:rsid w:val="00E11E3B"/>
    <w:rsid w:val="00E11F52"/>
    <w:rsid w:val="00E1328E"/>
    <w:rsid w:val="00E14B37"/>
    <w:rsid w:val="00E238AC"/>
    <w:rsid w:val="00E62BF6"/>
    <w:rsid w:val="00E64F15"/>
    <w:rsid w:val="00E702FC"/>
    <w:rsid w:val="00E7322A"/>
    <w:rsid w:val="00E8348B"/>
    <w:rsid w:val="00E85804"/>
    <w:rsid w:val="00E87354"/>
    <w:rsid w:val="00E942CC"/>
    <w:rsid w:val="00E95C18"/>
    <w:rsid w:val="00E95CB4"/>
    <w:rsid w:val="00E97F89"/>
    <w:rsid w:val="00EB23F8"/>
    <w:rsid w:val="00EC3CDB"/>
    <w:rsid w:val="00F05EE6"/>
    <w:rsid w:val="00F06218"/>
    <w:rsid w:val="00F11F7B"/>
    <w:rsid w:val="00F200A5"/>
    <w:rsid w:val="00F21938"/>
    <w:rsid w:val="00F30326"/>
    <w:rsid w:val="00F36FE0"/>
    <w:rsid w:val="00F62E8F"/>
    <w:rsid w:val="00F85E87"/>
    <w:rsid w:val="00F90516"/>
    <w:rsid w:val="00F93081"/>
    <w:rsid w:val="00F93F68"/>
    <w:rsid w:val="00FB1580"/>
    <w:rsid w:val="00FB3189"/>
    <w:rsid w:val="00FB435B"/>
    <w:rsid w:val="00FB4C7E"/>
    <w:rsid w:val="00FC53C7"/>
    <w:rsid w:val="00FC59E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DD906"/>
  <w15:docId w15:val="{FEA51847-22DE-D44A-A016-92B972B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5490467">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2298458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58222365">
      <w:bodyDiv w:val="1"/>
      <w:marLeft w:val="0"/>
      <w:marRight w:val="0"/>
      <w:marTop w:val="0"/>
      <w:marBottom w:val="0"/>
      <w:divBdr>
        <w:top w:val="none" w:sz="0" w:space="0" w:color="auto"/>
        <w:left w:val="none" w:sz="0" w:space="0" w:color="auto"/>
        <w:bottom w:val="none" w:sz="0" w:space="0" w:color="auto"/>
        <w:right w:val="none" w:sz="0" w:space="0" w:color="auto"/>
      </w:divBdr>
    </w:div>
    <w:div w:id="30154828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63428243">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48807888">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03517943">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12260058">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15012883">
      <w:bodyDiv w:val="1"/>
      <w:marLeft w:val="0"/>
      <w:marRight w:val="0"/>
      <w:marTop w:val="0"/>
      <w:marBottom w:val="0"/>
      <w:divBdr>
        <w:top w:val="none" w:sz="0" w:space="0" w:color="auto"/>
        <w:left w:val="none" w:sz="0" w:space="0" w:color="auto"/>
        <w:bottom w:val="none" w:sz="0" w:space="0" w:color="auto"/>
        <w:right w:val="none" w:sz="0" w:space="0" w:color="auto"/>
      </w:divBdr>
    </w:div>
    <w:div w:id="1648707159">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5709654">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5414609">
      <w:bodyDiv w:val="1"/>
      <w:marLeft w:val="0"/>
      <w:marRight w:val="0"/>
      <w:marTop w:val="0"/>
      <w:marBottom w:val="0"/>
      <w:divBdr>
        <w:top w:val="none" w:sz="0" w:space="0" w:color="auto"/>
        <w:left w:val="none" w:sz="0" w:space="0" w:color="auto"/>
        <w:bottom w:val="none" w:sz="0" w:space="0" w:color="auto"/>
        <w:right w:val="none" w:sz="0" w:space="0" w:color="auto"/>
      </w:divBdr>
    </w:div>
    <w:div w:id="1854151289">
      <w:bodyDiv w:val="1"/>
      <w:marLeft w:val="0"/>
      <w:marRight w:val="0"/>
      <w:marTop w:val="0"/>
      <w:marBottom w:val="0"/>
      <w:divBdr>
        <w:top w:val="none" w:sz="0" w:space="0" w:color="auto"/>
        <w:left w:val="none" w:sz="0" w:space="0" w:color="auto"/>
        <w:bottom w:val="none" w:sz="0" w:space="0" w:color="auto"/>
        <w:right w:val="none" w:sz="0" w:space="0" w:color="auto"/>
      </w:divBdr>
    </w:div>
    <w:div w:id="1858813743">
      <w:bodyDiv w:val="1"/>
      <w:marLeft w:val="0"/>
      <w:marRight w:val="0"/>
      <w:marTop w:val="0"/>
      <w:marBottom w:val="0"/>
      <w:divBdr>
        <w:top w:val="none" w:sz="0" w:space="0" w:color="auto"/>
        <w:left w:val="none" w:sz="0" w:space="0" w:color="auto"/>
        <w:bottom w:val="none" w:sz="0" w:space="0" w:color="auto"/>
        <w:right w:val="none" w:sz="0" w:space="0" w:color="auto"/>
      </w:divBdr>
    </w:div>
    <w:div w:id="1877693039">
      <w:bodyDiv w:val="1"/>
      <w:marLeft w:val="0"/>
      <w:marRight w:val="0"/>
      <w:marTop w:val="0"/>
      <w:marBottom w:val="0"/>
      <w:divBdr>
        <w:top w:val="none" w:sz="0" w:space="0" w:color="auto"/>
        <w:left w:val="none" w:sz="0" w:space="0" w:color="auto"/>
        <w:bottom w:val="none" w:sz="0" w:space="0" w:color="auto"/>
        <w:right w:val="none" w:sz="0" w:space="0" w:color="auto"/>
      </w:divBdr>
    </w:div>
    <w:div w:id="190429727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752&amp;utm_language=FR&amp;utm_source=template-word&amp;utm_medium=content&amp;utm_campaign=ic-Vendor+and+Supplier+Assessment+Criteria+Checklist-word-17752-fr&amp;lpa=ic+Vendor+and+Supplier+Assessment+Criteria+Checklist+word+17752+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D8919-946F-4345-8525-F6F104C8B5EF}">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cp:lastPrinted>2020-06-20T21:47:00Z</cp:lastPrinted>
  <dcterms:created xsi:type="dcterms:W3CDTF">2023-07-03T21:51:00Z</dcterms:created>
  <dcterms:modified xsi:type="dcterms:W3CDTF">2023-10-24T20:40:00Z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