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CF0B5" w14:textId="461035BA" w:rsidR="00B838C5" w:rsidRDefault="00796115">
      <w:pPr>
        <w:rPr>
          <w:rFonts w:ascii="Century Gothic" w:hAnsi="Century Gothic"/>
          <w:b/>
          <w:bCs/>
          <w:color w:val="595959" w:themeColor="text1" w:themeTint="A6"/>
          <w:sz w:val="44"/>
          <w:szCs w:val="44"/>
        </w:rPr>
      </w:pPr>
      <w:r>
        <w:rPr>
          <w:noProof/>
        </w:rPr>
        <w:drawing>
          <wp:anchor distT="0" distB="0" distL="114300" distR="114300" simplePos="0" relativeHeight="251670016" behindDoc="0" locked="0" layoutInCell="1" allowOverlap="1" wp14:anchorId="20332CFE" wp14:editId="3DF12778">
            <wp:simplePos x="0" y="0"/>
            <wp:positionH relativeFrom="column">
              <wp:posOffset>5879805</wp:posOffset>
            </wp:positionH>
            <wp:positionV relativeFrom="paragraph">
              <wp:posOffset>-116916</wp:posOffset>
            </wp:positionV>
            <wp:extent cx="3064510" cy="609515"/>
            <wp:effectExtent l="0" t="0" r="2540" b="635"/>
            <wp:wrapNone/>
            <wp:docPr id="120685838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4510" cy="609515"/>
                    </a:xfrm>
                    <a:prstGeom prst="rect">
                      <a:avLst/>
                    </a:prstGeom>
                  </pic:spPr>
                </pic:pic>
              </a:graphicData>
            </a:graphic>
          </wp:anchor>
        </w:drawing>
      </w:r>
      <w:r w:rsidR="00F462A7">
        <w:rPr>
          <w:rFonts w:ascii="Century Gothic" w:hAnsi="Century Gothic"/>
          <w:b/>
          <w:bCs/>
          <w:noProof/>
          <w:color w:val="000000" w:themeColor="text1"/>
          <w:sz w:val="44"/>
          <w:szCs w:val="44"/>
        </w:rPr>
        <w:drawing>
          <wp:anchor distT="0" distB="0" distL="114300" distR="114300" simplePos="0" relativeHeight="251655680" behindDoc="0" locked="0" layoutInCell="1" allowOverlap="1" wp14:anchorId="2C74446D" wp14:editId="1FF1A4F8">
            <wp:simplePos x="0" y="0"/>
            <wp:positionH relativeFrom="column">
              <wp:posOffset>1892300</wp:posOffset>
            </wp:positionH>
            <wp:positionV relativeFrom="paragraph">
              <wp:posOffset>495300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9" cstate="print">
                      <a:extLst>
                        <a:ext uri="{28A0092B-C50C-407E-A947-70E740481C1C}">
                          <a14:useLocalDpi xmlns:a14="http://schemas.microsoft.com/office/drawing/2010/main" val="0"/>
                        </a:ext>
                      </a:extLst>
                    </a:blip>
                    <a:srcRect l="10750" t="10448" r="8853" b="22538"/>
                    <a:stretch/>
                  </pic:blipFill>
                  <pic:spPr bwMode="auto">
                    <a:xfrm>
                      <a:off x="0" y="0"/>
                      <a:ext cx="7199949"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44"/>
        </w:rPr>
        <w:t xml:space="preserve">Exemple de modèle basique </w:t>
      </w:r>
      <w:r w:rsidR="00890011">
        <w:rPr>
          <w:rFonts w:ascii="Century Gothic" w:hAnsi="Century Gothic"/>
          <w:b/>
          <w:bCs/>
          <w:color w:val="595959" w:themeColor="text1" w:themeTint="A6"/>
          <w:sz w:val="44"/>
          <w:szCs w:val="44"/>
        </w:rPr>
        <w:br/>
      </w:r>
      <w:r>
        <w:rPr>
          <w:rFonts w:ascii="Century Gothic" w:hAnsi="Century Gothic"/>
          <w:b/>
          <w:color w:val="595959" w:themeColor="text1" w:themeTint="A6"/>
          <w:sz w:val="44"/>
        </w:rPr>
        <w:t>de plan stratégique</w:t>
      </w:r>
    </w:p>
    <w:p w14:paraId="069A9DF4" w14:textId="3C13FA17" w:rsidR="00890011" w:rsidRDefault="00406C8B">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630BEA24">
                <wp:simplePos x="0" y="0"/>
                <wp:positionH relativeFrom="column">
                  <wp:posOffset>19050</wp:posOffset>
                </wp:positionH>
                <wp:positionV relativeFrom="paragraph">
                  <wp:posOffset>174005</wp:posOffset>
                </wp:positionV>
                <wp:extent cx="4524375" cy="308610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4524375" cy="3086100"/>
                        </a:xfrm>
                        <a:prstGeom prst="rect">
                          <a:avLst/>
                        </a:prstGeom>
                        <a:noFill/>
                        <a:ln w="6350">
                          <a:noFill/>
                        </a:ln>
                      </wps:spPr>
                      <wps:txbx>
                        <w:txbxContent>
                          <w:p w14:paraId="6498E77A" w14:textId="656E1BA5" w:rsidR="00960644" w:rsidRPr="00406C8B" w:rsidRDefault="00FB5F87">
                            <w:pPr>
                              <w:rPr>
                                <w:rFonts w:ascii="Century Gothic" w:hAnsi="Century Gothic"/>
                                <w:b/>
                                <w:bCs/>
                                <w:color w:val="5B9BD5" w:themeColor="accent5"/>
                                <w:sz w:val="36"/>
                                <w:szCs w:val="36"/>
                              </w:rPr>
                            </w:pPr>
                            <w:r w:rsidRPr="00406C8B">
                              <w:rPr>
                                <w:rFonts w:ascii="Century Gothic" w:hAnsi="Century Gothic"/>
                                <w:color w:val="5B9BD5" w:themeColor="accent5"/>
                                <w:sz w:val="36"/>
                                <w:szCs w:val="36"/>
                              </w:rPr>
                              <w:t xml:space="preserve">Ce plan stratégique pour Positive Charge fournit une feuille de route permettant de réaliser la vision de l’entreprise, qui aspire à se porter en leader du secteur de la recharge des véhicules électriques à travers l’innovation, une expansion stratégique et la prise en compte </w:t>
                            </w:r>
                            <w:r w:rsidR="00406C8B">
                              <w:rPr>
                                <w:rFonts w:ascii="Century Gothic" w:hAnsi="Century Gothic"/>
                                <w:color w:val="5B9BD5" w:themeColor="accent5"/>
                                <w:sz w:val="36"/>
                                <w:szCs w:val="36"/>
                              </w:rPr>
                              <w:br/>
                            </w:r>
                            <w:r w:rsidRPr="00406C8B">
                              <w:rPr>
                                <w:rFonts w:ascii="Century Gothic" w:hAnsi="Century Gothic"/>
                                <w:color w:val="5B9BD5" w:themeColor="accent5"/>
                                <w:sz w:val="36"/>
                                <w:szCs w:val="36"/>
                              </w:rPr>
                              <w:t>des besoins des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5pt;margin-top:13.7pt;width:356.25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rEGAIAAC0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" filled="f" stroked="f" strokeweight=".5pt">
                <v:textbox>
                  <w:txbxContent>
                    <w:p w14:paraId="6498E77A" w14:textId="656E1BA5" w:rsidR="00960644" w:rsidRPr="00406C8B" w:rsidRDefault="00FB5F87">
                      <w:pPr>
                        <w:rPr>
                          <w:rFonts w:ascii="Century Gothic" w:hAnsi="Century Gothic"/>
                          <w:b/>
                          <w:bCs/>
                          <w:color w:val="5B9BD5" w:themeColor="accent5"/>
                          <w:sz w:val="36"/>
                          <w:szCs w:val="36"/>
                        </w:rPr>
                      </w:pPr>
                      <w:r w:rsidRPr="00406C8B">
                        <w:rPr>
                          <w:rFonts w:ascii="Century Gothic" w:hAnsi="Century Gothic"/>
                          <w:color w:val="5B9BD5" w:themeColor="accent5"/>
                          <w:sz w:val="36"/>
                          <w:szCs w:val="36"/>
                        </w:rPr>
                        <w:t xml:space="preserve">Ce plan stratégique pour Positive Charge fournit une feuille de route permettant de réaliser la vision de l’entreprise, qui aspire à se porter en leader du secteur de la recharge des véhicules électriques à travers l’innovation, une expansion stratégique et la prise en compte </w:t>
                      </w:r>
                      <w:r w:rsidR="00406C8B">
                        <w:rPr>
                          <w:rFonts w:ascii="Century Gothic" w:hAnsi="Century Gothic"/>
                          <w:color w:val="5B9BD5" w:themeColor="accent5"/>
                          <w:sz w:val="36"/>
                          <w:szCs w:val="36"/>
                        </w:rPr>
                        <w:br/>
                      </w:r>
                      <w:r w:rsidRPr="00406C8B">
                        <w:rPr>
                          <w:rFonts w:ascii="Century Gothic" w:hAnsi="Century Gothic"/>
                          <w:color w:val="5B9BD5" w:themeColor="accent5"/>
                          <w:sz w:val="36"/>
                          <w:szCs w:val="36"/>
                        </w:rPr>
                        <w:t>des besoins des clients.</w:t>
                      </w:r>
                    </w:p>
                  </w:txbxContent>
                </v:textbox>
              </v:shape>
            </w:pict>
          </mc:Fallback>
        </mc:AlternateContent>
      </w:r>
    </w:p>
    <w:p w14:paraId="29848394" w14:textId="2832B344" w:rsidR="00856B1D" w:rsidRDefault="00856B1D">
      <w:pPr>
        <w:rPr>
          <w:rFonts w:ascii="Century Gothic" w:hAnsi="Century Gothic"/>
          <w:b/>
          <w:bCs/>
          <w:color w:val="595959" w:themeColor="text1" w:themeTint="A6"/>
          <w:sz w:val="44"/>
          <w:szCs w:val="44"/>
        </w:rPr>
      </w:pPr>
    </w:p>
    <w:p w14:paraId="51A9F482" w14:textId="7DE97801"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NOM DE L’ENTREPRISE</w:t>
            </w:r>
          </w:p>
        </w:tc>
        <w:tc>
          <w:tcPr>
            <w:tcW w:w="7195" w:type="dxa"/>
            <w:vAlign w:val="center"/>
          </w:tcPr>
          <w:p w14:paraId="21AEE2D3" w14:textId="66BCC7DE" w:rsidR="00B838C5" w:rsidRPr="00856B1D" w:rsidRDefault="00F462A7">
            <w:pPr>
              <w:rPr>
                <w:rFonts w:ascii="Century Gothic" w:hAnsi="Century Gothic"/>
              </w:rPr>
            </w:pPr>
            <w:r>
              <w:rPr>
                <w:rFonts w:ascii="Century Gothic" w:hAnsi="Century Gothic"/>
              </w:rPr>
              <w:t>Positive Charge</w:t>
            </w: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PLAN STRATÉGIQUE ÉLABORÉ PAR</w:t>
            </w:r>
          </w:p>
        </w:tc>
        <w:tc>
          <w:tcPr>
            <w:tcW w:w="7195" w:type="dxa"/>
            <w:vAlign w:val="center"/>
          </w:tcPr>
          <w:p w14:paraId="49365471" w14:textId="0576B6E0" w:rsidR="00B838C5" w:rsidRPr="00856B1D" w:rsidRDefault="00F462A7">
            <w:pPr>
              <w:rPr>
                <w:rFonts w:ascii="Century Gothic" w:hAnsi="Century Gothic"/>
              </w:rPr>
            </w:pPr>
            <w:r>
              <w:rPr>
                <w:rFonts w:ascii="Century Gothic" w:hAnsi="Century Gothic"/>
              </w:rPr>
              <w:t>Lori Garcia</w:t>
            </w: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DATE</w:t>
            </w:r>
          </w:p>
        </w:tc>
        <w:tc>
          <w:tcPr>
            <w:tcW w:w="7195" w:type="dxa"/>
            <w:vAlign w:val="center"/>
          </w:tcPr>
          <w:p w14:paraId="5E70BA1E" w14:textId="66A6DFE8" w:rsidR="00B838C5" w:rsidRPr="00856B1D" w:rsidRDefault="00F462A7">
            <w:pPr>
              <w:rPr>
                <w:rFonts w:ascii="Century Gothic" w:hAnsi="Century Gothic"/>
              </w:rPr>
            </w:pPr>
            <w:r>
              <w:rPr>
                <w:rFonts w:ascii="Century Gothic" w:hAnsi="Century Gothic"/>
              </w:rPr>
              <w:t>JJ/MM/AA</w:t>
            </w:r>
          </w:p>
        </w:tc>
      </w:tr>
    </w:tbl>
    <w:p w14:paraId="03A5D751" w14:textId="6AFEBF10" w:rsidR="00B838C5" w:rsidRDefault="00B838C5"/>
    <w:tbl>
      <w:tblPr>
        <w:tblW w:w="14360" w:type="dxa"/>
        <w:tblLook w:val="04A0" w:firstRow="1" w:lastRow="0" w:firstColumn="1" w:lastColumn="0" w:noHBand="0" w:noVBand="1"/>
      </w:tblPr>
      <w:tblGrid>
        <w:gridCol w:w="3571"/>
        <w:gridCol w:w="10789"/>
      </w:tblGrid>
      <w:tr w:rsidR="007D257E" w:rsidRPr="007D257E" w14:paraId="4715C1F7" w14:textId="77777777" w:rsidTr="00406C8B">
        <w:trPr>
          <w:trHeight w:val="1070"/>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lastRenderedPageBreak/>
              <w:t>RÉCAPITULATIF</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0ECBEF9D" w:rsidR="00267935" w:rsidRPr="00267935" w:rsidRDefault="00036E51" w:rsidP="00B838C5">
            <w:pPr>
              <w:spacing w:after="0" w:line="240" w:lineRule="auto"/>
              <w:rPr>
                <w:rFonts w:ascii="Century Gothic" w:hAnsi="Century Gothic"/>
                <w:sz w:val="20"/>
              </w:rPr>
            </w:pPr>
            <w:r>
              <w:rPr>
                <w:rFonts w:ascii="Century Gothic" w:hAnsi="Century Gothic"/>
                <w:sz w:val="20"/>
              </w:rPr>
              <w:t>Positive Charge vise à devenir leader du secteur de la recharge des véhicules électriques en fournissant des solutions de recharge innovantes, fiables et accessibles aux propriétaires de véhicules électriques et aux entreprises. Notre plan stratégique décrit les étapes à suivre pour développer notre réseau, améliorer notre technologie et accroître notre présence sur le marché au cours des cinq prochaines années.</w:t>
            </w:r>
          </w:p>
        </w:tc>
      </w:tr>
      <w:tr w:rsidR="00F840C3" w:rsidRPr="007D257E" w14:paraId="7D46D7E0" w14:textId="77777777" w:rsidTr="00406C8B">
        <w:trPr>
          <w:trHeight w:val="1008"/>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ÉNONCÉ DE VISION</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7E2D98" w:rsidRDefault="00036E51" w:rsidP="00B838C5">
            <w:pPr>
              <w:spacing w:after="0" w:line="240" w:lineRule="auto"/>
              <w:rPr>
                <w:rFonts w:ascii="Century Gothic" w:hAnsi="Century Gothic"/>
                <w:sz w:val="20"/>
                <w:szCs w:val="20"/>
              </w:rPr>
            </w:pPr>
            <w:r>
              <w:rPr>
                <w:rFonts w:ascii="Century Gothic" w:hAnsi="Century Gothic"/>
                <w:sz w:val="20"/>
              </w:rPr>
              <w:t>Révolutionner l’expérience de recharge des véhicules électriques en la rendant aussi simple et facile à utiliser qu’une station-service traditionnelle, accélérant ainsi la transition mondiale vers des modes de transport durables.</w:t>
            </w:r>
          </w:p>
        </w:tc>
      </w:tr>
      <w:tr w:rsidR="00B838C5" w:rsidRPr="007D257E" w14:paraId="7981F819" w14:textId="77777777" w:rsidTr="00406C8B">
        <w:trPr>
          <w:trHeight w:val="1008"/>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ÉNONCÉ DE MISSION</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7E2D98" w:rsidRDefault="00036E51" w:rsidP="00B838C5">
            <w:pPr>
              <w:spacing w:after="0" w:line="240" w:lineRule="auto"/>
              <w:rPr>
                <w:rFonts w:ascii="Century Gothic" w:hAnsi="Century Gothic"/>
                <w:sz w:val="20"/>
                <w:szCs w:val="20"/>
              </w:rPr>
            </w:pPr>
            <w:r>
              <w:rPr>
                <w:rFonts w:ascii="Century Gothic" w:hAnsi="Century Gothic"/>
                <w:sz w:val="20"/>
              </w:rPr>
              <w:t>La mission de Positive Charge est de fournir aux propriétaires de véhicules électriques des solutions de recharge rapides, efficaces et faciles d’accès, en soutenant la croissance de la mobilité électrique à travers l’innovation, des services axés sur le client et des partenariats stratégiques.</w:t>
            </w:r>
          </w:p>
        </w:tc>
      </w:tr>
      <w:tr w:rsidR="00B838C5" w:rsidRPr="007D257E" w14:paraId="35C53379" w14:textId="77777777" w:rsidTr="00406C8B">
        <w:trPr>
          <w:trHeight w:val="1817"/>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ANALYSE SWOT</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Forces : technologie de recharge avancée, solides partenariats avec des fabricants de véhicules électriques et emplacement stratégique des bornes de recharge.</w:t>
            </w:r>
          </w:p>
          <w:p w14:paraId="070CBAAA" w14:textId="7777777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Faiblesses : coûts d’infrastructure initiaux élevés et concurrence des réseaux de distribution et de recharge déjà en place.</w:t>
            </w:r>
          </w:p>
          <w:p w14:paraId="0E61C0BC" w14:textId="293CBA8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Opportunités : demande croissante de véhicules électriques, incitations gouvernementales en faveur des énergies renouvelables et potentiel d’expansion à l’international.</w:t>
            </w:r>
          </w:p>
          <w:p w14:paraId="72D6CEB7" w14:textId="572BAFE2" w:rsidR="00B838C5"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Menaces : avancées technologiques des concurrents et changements dans l’environnement réglementaire.</w:t>
            </w:r>
          </w:p>
        </w:tc>
      </w:tr>
      <w:tr w:rsidR="00F840C3" w:rsidRPr="007D257E" w14:paraId="60FD341C" w14:textId="77777777" w:rsidTr="00406C8B">
        <w:trPr>
          <w:trHeight w:val="1088"/>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OBJECTIFS MÉTIER</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À court terme (1 à 2 ans) : augmenter de 50 % le nombre de bornes de recharge et conclure deux nouveaux partenariats stratégiques.</w:t>
            </w:r>
          </w:p>
          <w:p w14:paraId="16EEC4B6" w14:textId="39B12FEC" w:rsidR="00F840C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À long terme (3 à 5 ans) : atteindre une part de marché de 25 % dans le secteur de la recharge des véhicules électriques et développer les activités dans trois nouveaux pays.</w:t>
            </w:r>
          </w:p>
        </w:tc>
      </w:tr>
      <w:tr w:rsidR="00B838C5" w:rsidRPr="007D257E" w14:paraId="06645FFA" w14:textId="77777777" w:rsidTr="00406C8B">
        <w:trPr>
          <w:trHeight w:val="1008"/>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 MARKETING</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7E2D98" w:rsidRDefault="00D1020F" w:rsidP="00B838C5">
            <w:pPr>
              <w:spacing w:after="0" w:line="240" w:lineRule="auto"/>
              <w:rPr>
                <w:rFonts w:ascii="Century Gothic" w:hAnsi="Century Gothic"/>
                <w:sz w:val="20"/>
                <w:szCs w:val="20"/>
              </w:rPr>
            </w:pPr>
            <w:r>
              <w:rPr>
                <w:rFonts w:ascii="Century Gothic" w:hAnsi="Century Gothic"/>
                <w:sz w:val="20"/>
              </w:rPr>
              <w:t>Mettre en œuvre une stratégie marketing multicanal axée sur le marketing numérique, les partenariats avec les constructeurs de véhicules électriques et la participation à des expositions sur l’énergie verte, afin d’accroître la notoriété de la marque et l’engagement des clients.</w:t>
            </w:r>
          </w:p>
        </w:tc>
      </w:tr>
      <w:tr w:rsidR="00F840C3" w:rsidRPr="007D257E" w14:paraId="454B8795" w14:textId="77777777" w:rsidTr="00406C8B">
        <w:trPr>
          <w:trHeight w:val="720"/>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 OPÉRATIONNEL</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7E2D98" w:rsidRDefault="00D1020F" w:rsidP="00B838C5">
            <w:pPr>
              <w:spacing w:after="0" w:line="240" w:lineRule="auto"/>
              <w:rPr>
                <w:rFonts w:ascii="Century Gothic" w:hAnsi="Century Gothic"/>
                <w:sz w:val="20"/>
                <w:szCs w:val="20"/>
              </w:rPr>
            </w:pPr>
            <w:r>
              <w:rPr>
                <w:rFonts w:ascii="Century Gothic" w:hAnsi="Century Gothic"/>
                <w:sz w:val="20"/>
              </w:rPr>
              <w:t>Développer l’infrastructure en investissant dans les technologies de recharge nouvelle génération et en optimisant la logistique pour assurer un déploiement et une maintenance efficaces des bornes de recharge.</w:t>
            </w:r>
          </w:p>
        </w:tc>
      </w:tr>
      <w:tr w:rsidR="00B838C5" w:rsidRPr="007D257E" w14:paraId="5EFEA7F9" w14:textId="77777777" w:rsidTr="00406C8B">
        <w:trPr>
          <w:trHeight w:val="1008"/>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PROJECTIONS FINANCIÈRES</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Année 1 : revenus de 4,5 millions d’euros et perte nette de 900 000 euros due aux investissements initiaux.</w:t>
            </w:r>
          </w:p>
          <w:p w14:paraId="618B5F63"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Année 2 : revenus de 9 millions d’euros et bénéfice net de 900 000 euros.</w:t>
            </w:r>
          </w:p>
          <w:p w14:paraId="6BACCB43" w14:textId="3AD73A26" w:rsidR="00B838C5" w:rsidRPr="007E2D98" w:rsidRDefault="00D1020F" w:rsidP="00D1020F">
            <w:pPr>
              <w:spacing w:after="0" w:line="240" w:lineRule="auto"/>
              <w:rPr>
                <w:rFonts w:ascii="Century Gothic" w:hAnsi="Century Gothic"/>
                <w:sz w:val="20"/>
                <w:szCs w:val="20"/>
              </w:rPr>
            </w:pPr>
            <w:r>
              <w:rPr>
                <w:rFonts w:ascii="Century Gothic" w:hAnsi="Century Gothic"/>
                <w:sz w:val="20"/>
              </w:rPr>
              <w:t>Année 3 à 5 : croissance annuelle des revenus de 30 %, avec une marge bénéficiaire nette de 15 %.</w:t>
            </w:r>
          </w:p>
        </w:tc>
      </w:tr>
      <w:tr w:rsidR="00B838C5" w:rsidRPr="007D257E" w14:paraId="63E12318" w14:textId="77777777" w:rsidTr="00406C8B">
        <w:trPr>
          <w:trHeight w:val="1610"/>
        </w:trPr>
        <w:tc>
          <w:tcPr>
            <w:tcW w:w="3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ÉQUIPE</w:t>
            </w:r>
          </w:p>
        </w:tc>
        <w:tc>
          <w:tcPr>
            <w:tcW w:w="10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PDG : spécialiste des énergies renouvelables avec 20 ans d’expérience.</w:t>
            </w:r>
          </w:p>
          <w:p w14:paraId="366C1B64" w14:textId="78344776"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Direction de la technologie : spécialiste de la technologie et du développement de l’infrastructure des véhicules électriques.</w:t>
            </w:r>
          </w:p>
          <w:p w14:paraId="6C639D4C" w14:textId="6EFD9522" w:rsidR="001F6345" w:rsidRPr="001F6345" w:rsidRDefault="001F6345" w:rsidP="00267935">
            <w:pPr>
              <w:spacing w:after="0" w:line="240" w:lineRule="auto"/>
              <w:ind w:right="-239"/>
              <w:rPr>
                <w:rFonts w:ascii="Century Gothic" w:hAnsi="Century Gothic"/>
                <w:sz w:val="20"/>
                <w:szCs w:val="20"/>
              </w:rPr>
            </w:pPr>
            <w:r>
              <w:rPr>
                <w:rFonts w:ascii="Century Gothic" w:hAnsi="Century Gothic"/>
                <w:sz w:val="20"/>
              </w:rPr>
              <w:t>Direction financière : spécialiste des finances et de l’investissement qui se concentre sur les technologies vertes.</w:t>
            </w:r>
          </w:p>
          <w:p w14:paraId="4392700B" w14:textId="0528725A" w:rsidR="00B838C5" w:rsidRPr="007E2D98" w:rsidRDefault="001F6345" w:rsidP="001F6345">
            <w:pPr>
              <w:spacing w:after="0" w:line="240" w:lineRule="auto"/>
              <w:rPr>
                <w:rFonts w:ascii="Century Gothic" w:hAnsi="Century Gothic"/>
                <w:sz w:val="20"/>
                <w:szCs w:val="20"/>
              </w:rPr>
            </w:pPr>
            <w:r>
              <w:rPr>
                <w:rFonts w:ascii="Century Gothic" w:hAnsi="Century Gothic"/>
                <w:sz w:val="20"/>
              </w:rPr>
              <w:t>Direction marketing : leader compétent en matière de marketing numérique et de développement de la marque dans le secteur technologique.</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EXCLUSION DE RESPONSABILITÉ</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Pr>
                <w:rFonts w:ascii="Century Gothic" w:hAnsi="Century Gothic"/>
              </w:rPr>
              <w:t>Tous les articles, modèles ou informations proposés par Smartsheet sur le site web sont fournis à titre de référence uniquement. Bien que nous nous efforcions de maintenir les informations à jour et exactes, nous ne faisons aucune déclaration, ni n’offrons aucune garantie, de quelque nature que ce soit, expresse ou implicite, quant à l’exhaustivité, l’exactitude, la fiabilité, la pertinence ou la disponibilité du site web, ou des informations, articles, modèles ou graphiques liés, contenus sur le site. Toute la confiance que vous accordez à ces informations relève de votre propre responsabilité, à vos propres risques.</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DA652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DF919" w14:textId="77777777" w:rsidR="005E2E8A" w:rsidRDefault="005E2E8A" w:rsidP="00267935">
      <w:pPr>
        <w:spacing w:after="0" w:line="240" w:lineRule="auto"/>
      </w:pPr>
      <w:r>
        <w:separator/>
      </w:r>
    </w:p>
  </w:endnote>
  <w:endnote w:type="continuationSeparator" w:id="0">
    <w:p w14:paraId="366187E8" w14:textId="77777777" w:rsidR="005E2E8A" w:rsidRDefault="005E2E8A" w:rsidP="0026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AE800" w14:textId="77777777" w:rsidR="005E2E8A" w:rsidRDefault="005E2E8A" w:rsidP="00267935">
      <w:pPr>
        <w:spacing w:after="0" w:line="240" w:lineRule="auto"/>
      </w:pPr>
      <w:r>
        <w:separator/>
      </w:r>
    </w:p>
  </w:footnote>
  <w:footnote w:type="continuationSeparator" w:id="0">
    <w:p w14:paraId="205907C2" w14:textId="77777777" w:rsidR="005E2E8A" w:rsidRDefault="005E2E8A" w:rsidP="00267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171A3"/>
    <w:rsid w:val="00036E51"/>
    <w:rsid w:val="0004078A"/>
    <w:rsid w:val="000411F0"/>
    <w:rsid w:val="00050CAB"/>
    <w:rsid w:val="0006376B"/>
    <w:rsid w:val="000D0FD7"/>
    <w:rsid w:val="000F173D"/>
    <w:rsid w:val="00104C41"/>
    <w:rsid w:val="0012137D"/>
    <w:rsid w:val="00127B68"/>
    <w:rsid w:val="00192157"/>
    <w:rsid w:val="001A1328"/>
    <w:rsid w:val="001F59E2"/>
    <w:rsid w:val="001F6345"/>
    <w:rsid w:val="00214A64"/>
    <w:rsid w:val="0022352A"/>
    <w:rsid w:val="00267935"/>
    <w:rsid w:val="00280F66"/>
    <w:rsid w:val="002A5A3C"/>
    <w:rsid w:val="002D3824"/>
    <w:rsid w:val="00333D63"/>
    <w:rsid w:val="003A4A32"/>
    <w:rsid w:val="003A776D"/>
    <w:rsid w:val="003E1829"/>
    <w:rsid w:val="00406C8B"/>
    <w:rsid w:val="00423B67"/>
    <w:rsid w:val="00483DF5"/>
    <w:rsid w:val="005233D9"/>
    <w:rsid w:val="0053241E"/>
    <w:rsid w:val="005C758F"/>
    <w:rsid w:val="005E2E8A"/>
    <w:rsid w:val="005F1960"/>
    <w:rsid w:val="00670F01"/>
    <w:rsid w:val="00680F0E"/>
    <w:rsid w:val="006841C6"/>
    <w:rsid w:val="00694E25"/>
    <w:rsid w:val="006D4C32"/>
    <w:rsid w:val="006E160E"/>
    <w:rsid w:val="007057FB"/>
    <w:rsid w:val="00780711"/>
    <w:rsid w:val="00796115"/>
    <w:rsid w:val="007A4076"/>
    <w:rsid w:val="007D257E"/>
    <w:rsid w:val="007F7BB8"/>
    <w:rsid w:val="00856B1D"/>
    <w:rsid w:val="00874FC2"/>
    <w:rsid w:val="00890011"/>
    <w:rsid w:val="008A6AA0"/>
    <w:rsid w:val="008E182E"/>
    <w:rsid w:val="00902D43"/>
    <w:rsid w:val="00960644"/>
    <w:rsid w:val="009A4B55"/>
    <w:rsid w:val="009C2AF2"/>
    <w:rsid w:val="009C3683"/>
    <w:rsid w:val="00AB29C2"/>
    <w:rsid w:val="00AF4DA7"/>
    <w:rsid w:val="00B20388"/>
    <w:rsid w:val="00B5700F"/>
    <w:rsid w:val="00B6775F"/>
    <w:rsid w:val="00B838C5"/>
    <w:rsid w:val="00BC1FE7"/>
    <w:rsid w:val="00BE49A9"/>
    <w:rsid w:val="00CC01FA"/>
    <w:rsid w:val="00CD13E5"/>
    <w:rsid w:val="00D1020F"/>
    <w:rsid w:val="00D116C2"/>
    <w:rsid w:val="00D1464D"/>
    <w:rsid w:val="00D22386"/>
    <w:rsid w:val="00DA652A"/>
    <w:rsid w:val="00E56F58"/>
    <w:rsid w:val="00E82E2E"/>
    <w:rsid w:val="00E9555E"/>
    <w:rsid w:val="00EA6DAE"/>
    <w:rsid w:val="00EA7488"/>
    <w:rsid w:val="00EE52D1"/>
    <w:rsid w:val="00F065C8"/>
    <w:rsid w:val="00F10A8E"/>
    <w:rsid w:val="00F1326C"/>
    <w:rsid w:val="00F24DB1"/>
    <w:rsid w:val="00F462A7"/>
    <w:rsid w:val="00F840C3"/>
    <w:rsid w:val="00FB40C3"/>
    <w:rsid w:val="00FB5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 w:type="paragraph" w:styleId="Header">
    <w:name w:val="header"/>
    <w:basedOn w:val="Normal"/>
    <w:link w:val="HeaderChar"/>
    <w:uiPriority w:val="99"/>
    <w:unhideWhenUsed/>
    <w:rsid w:val="0026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935"/>
  </w:style>
  <w:style w:type="paragraph" w:styleId="Footer">
    <w:name w:val="footer"/>
    <w:basedOn w:val="Normal"/>
    <w:link w:val="FooterChar"/>
    <w:uiPriority w:val="99"/>
    <w:unhideWhenUsed/>
    <w:rsid w:val="0026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r.smartsheet.com/try-it?trp=1751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613</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7</cp:revision>
  <dcterms:created xsi:type="dcterms:W3CDTF">2024-05-28T11:19:00Z</dcterms:created>
  <dcterms:modified xsi:type="dcterms:W3CDTF">2024-09-17T10:06:00Z</dcterms:modified>
</cp:coreProperties>
</file>