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53E77" w14:textId="337E3BC6" w:rsidR="00854633" w:rsidRPr="00807F13" w:rsidRDefault="006E2CEC" w:rsidP="00854633">
      <w:pPr>
        <w:spacing w:line="240" w:lineRule="auto"/>
        <w:rPr>
          <w:color w:val="595959" w:themeColor="text1" w:themeTint="A6"/>
          <w:sz w:val="18"/>
          <w:szCs w:val="18"/>
        </w:rPr>
      </w:pPr>
      <w:r w:rsidRPr="00360227">
        <w:rPr>
          <w:b/>
          <w:noProof/>
          <w:color w:val="595959" w:themeColor="text1" w:themeTint="A6"/>
          <w:sz w:val="46"/>
          <w:szCs w:val="46"/>
        </w:rPr>
        <w:drawing>
          <wp:anchor distT="0" distB="0" distL="114300" distR="114300" simplePos="0" relativeHeight="251652096" behindDoc="0" locked="0" layoutInCell="1" allowOverlap="1" wp14:anchorId="7A5DDC8E" wp14:editId="27B6C1C4">
            <wp:simplePos x="0" y="0"/>
            <wp:positionH relativeFrom="margin">
              <wp:align>right</wp:align>
            </wp:positionH>
            <wp:positionV relativeFrom="paragraph">
              <wp:posOffset>1270</wp:posOffset>
            </wp:positionV>
            <wp:extent cx="2714400" cy="540000"/>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14400" cy="54000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6"/>
        </w:rPr>
        <w:t xml:space="preserve">EXEMPLE DE MODÈLE DE PLAN D’AFFAIRES </w:t>
      </w:r>
      <w:r w:rsidR="00E441AF">
        <w:rPr>
          <w:b/>
          <w:color w:val="595959" w:themeColor="text1" w:themeTint="A6"/>
          <w:sz w:val="46"/>
        </w:rPr>
        <w:br/>
      </w:r>
      <w:r>
        <w:rPr>
          <w:b/>
          <w:color w:val="595959" w:themeColor="text1" w:themeTint="A6"/>
          <w:sz w:val="46"/>
        </w:rPr>
        <w:t>STRATÉGIQUE SUR 5 ANS</w:t>
      </w:r>
      <w:r w:rsidR="00E441AF">
        <w:rPr>
          <w:rFonts w:hint="eastAsia"/>
          <w:b/>
          <w:color w:val="595959" w:themeColor="text1" w:themeTint="A6"/>
          <w:sz w:val="46"/>
          <w:lang w:eastAsia="zh-CN"/>
        </w:rPr>
        <w:t xml:space="preserve"> </w:t>
      </w:r>
      <w:r>
        <w:rPr>
          <w:b/>
          <w:color w:val="595959" w:themeColor="text1" w:themeTint="A6"/>
          <w:sz w:val="46"/>
        </w:rPr>
        <w:t>pour Microsoft Word</w:t>
      </w:r>
      <w:r w:rsidR="000E3EE3">
        <w:rPr>
          <w:b/>
          <w:color w:val="595959" w:themeColor="text1" w:themeTint="A6"/>
          <w:sz w:val="46"/>
          <w:szCs w:val="46"/>
        </w:rPr>
        <w:br/>
      </w:r>
    </w:p>
    <w:p w14:paraId="241BDFF6" w14:textId="77777777" w:rsidR="00BB62A7" w:rsidRDefault="00BB62A7" w:rsidP="000029E5">
      <w:pPr>
        <w:spacing w:after="240"/>
        <w:jc w:val="center"/>
        <w:rPr>
          <w:color w:val="7F7F7F" w:themeColor="text1" w:themeTint="80"/>
          <w:sz w:val="50"/>
          <w:szCs w:val="50"/>
        </w:rPr>
      </w:pPr>
    </w:p>
    <w:p w14:paraId="3D1A1173" w14:textId="70486371" w:rsidR="000029E5" w:rsidRPr="001E16F8" w:rsidRDefault="00901FA1" w:rsidP="000029E5">
      <w:pPr>
        <w:spacing w:after="240"/>
        <w:jc w:val="center"/>
        <w:rPr>
          <w:color w:val="7F7F7F" w:themeColor="text1" w:themeTint="80"/>
          <w:sz w:val="50"/>
          <w:szCs w:val="50"/>
        </w:rPr>
      </w:pPr>
      <w:r>
        <w:rPr>
          <w:color w:val="7F7F7F" w:themeColor="text1" w:themeTint="80"/>
          <w:sz w:val="50"/>
        </w:rPr>
        <w:t>POSITIVE CHARGE</w:t>
      </w:r>
    </w:p>
    <w:p w14:paraId="65008F3F" w14:textId="11731FCB" w:rsidR="000029E5" w:rsidRDefault="002B75CA" w:rsidP="008216A9">
      <w:pPr>
        <w:spacing w:after="240"/>
        <w:jc w:val="center"/>
        <w:rPr>
          <w:color w:val="595959" w:themeColor="text1" w:themeTint="A6"/>
          <w:sz w:val="36"/>
          <w:szCs w:val="36"/>
        </w:rPr>
      </w:pPr>
      <w:r>
        <w:rPr>
          <w:color w:val="595959" w:themeColor="text1" w:themeTint="A6"/>
          <w:sz w:val="36"/>
        </w:rPr>
        <w:t>PLAN STRATÉGIQUE SUR 5 ANS - 20XX–20XX</w:t>
      </w:r>
    </w:p>
    <w:tbl>
      <w:tblPr>
        <w:tblStyle w:val="TableGrid"/>
        <w:tblW w:w="0" w:type="auto"/>
        <w:tblLook w:val="04A0" w:firstRow="1" w:lastRow="0" w:firstColumn="1" w:lastColumn="0" w:noHBand="0" w:noVBand="1"/>
      </w:tblPr>
      <w:tblGrid>
        <w:gridCol w:w="1710"/>
        <w:gridCol w:w="5580"/>
        <w:gridCol w:w="1530"/>
        <w:gridCol w:w="5616"/>
      </w:tblGrid>
      <w:tr w:rsidR="003E0901" w14:paraId="2168AF32" w14:textId="378A4ADB" w:rsidTr="00482C57">
        <w:trPr>
          <w:trHeight w:val="4815"/>
        </w:trPr>
        <w:tc>
          <w:tcPr>
            <w:tcW w:w="1710" w:type="dxa"/>
            <w:tcBorders>
              <w:top w:val="nil"/>
              <w:left w:val="nil"/>
              <w:bottom w:val="nil"/>
              <w:right w:val="nil"/>
            </w:tcBorders>
            <w:shd w:val="clear" w:color="auto" w:fill="auto"/>
          </w:tcPr>
          <w:p w14:paraId="4069FDAD" w14:textId="77777777" w:rsidR="008216A9" w:rsidRPr="008216A9" w:rsidRDefault="008216A9" w:rsidP="003E0901">
            <w:pPr>
              <w:ind w:left="251"/>
              <w:rPr>
                <w:color w:val="788B8E"/>
                <w:sz w:val="28"/>
                <w:szCs w:val="28"/>
              </w:rPr>
            </w:pPr>
            <w:r>
              <w:rPr>
                <w:color w:val="788B8E"/>
                <w:sz w:val="28"/>
              </w:rPr>
              <w:t>Énoncé de</w:t>
            </w:r>
          </w:p>
          <w:p w14:paraId="3D35B9E1" w14:textId="77777777" w:rsidR="008216A9" w:rsidRPr="008216A9" w:rsidRDefault="008216A9" w:rsidP="003E0901">
            <w:pPr>
              <w:ind w:left="251"/>
              <w:rPr>
                <w:color w:val="595959" w:themeColor="text1" w:themeTint="A6"/>
              </w:rPr>
            </w:pPr>
            <w:r>
              <w:rPr>
                <w:color w:val="788B8E"/>
              </w:rPr>
              <w:t>MISSION</w:t>
            </w:r>
          </w:p>
        </w:tc>
        <w:tc>
          <w:tcPr>
            <w:tcW w:w="5580" w:type="dxa"/>
            <w:tcBorders>
              <w:top w:val="nil"/>
              <w:left w:val="nil"/>
              <w:bottom w:val="single" w:sz="18" w:space="0" w:color="CED9D6"/>
              <w:right w:val="single" w:sz="18" w:space="0" w:color="CED9D6"/>
            </w:tcBorders>
            <w:shd w:val="clear" w:color="auto" w:fill="F1F6F4"/>
            <w:tcMar>
              <w:top w:w="144" w:type="dxa"/>
              <w:left w:w="144" w:type="dxa"/>
              <w:bottom w:w="29" w:type="dxa"/>
              <w:right w:w="115" w:type="dxa"/>
            </w:tcMar>
          </w:tcPr>
          <w:p w14:paraId="42ADE1E7" w14:textId="77777777" w:rsidR="00482C57" w:rsidRPr="00901FA1" w:rsidRDefault="009064BB" w:rsidP="004C1201">
            <w:pPr>
              <w:spacing w:after="120"/>
              <w:rPr>
                <w:color w:val="000000" w:themeColor="text1"/>
                <w:sz w:val="24"/>
                <w:szCs w:val="24"/>
              </w:rPr>
            </w:pPr>
            <w:r>
              <w:rPr>
                <w:color w:val="000000" w:themeColor="text1"/>
                <w:sz w:val="24"/>
              </w:rPr>
              <w:t>Chez Positive Charge, nous visons à accélérer la transition du monde vers des modes de transport durables. Nous fournissons des solutions de recharge des véhicules électriques et des services logistiques fiables, pratiques et innovants, améliorant ainsi l’expérience des propriétaires de véhicules électriques.</w:t>
            </w:r>
          </w:p>
          <w:p w14:paraId="5128B305" w14:textId="563B796B" w:rsidR="008216A9" w:rsidRPr="00482C57" w:rsidRDefault="009064BB" w:rsidP="004C1201">
            <w:pPr>
              <w:spacing w:after="120"/>
              <w:rPr>
                <w:color w:val="000000" w:themeColor="text1"/>
              </w:rPr>
            </w:pPr>
            <w:r>
              <w:rPr>
                <w:color w:val="000000" w:themeColor="text1"/>
                <w:sz w:val="24"/>
              </w:rPr>
              <w:t>Forts de notre engagement en faveur de la durabilité, nous améliorons et développons continuellement nos infrastructures, afin de garantir l’accessibilité à tous les conducteurs de véhicules électriques et de contribuer à une planète plus propre et plus verte.</w:t>
            </w:r>
          </w:p>
        </w:tc>
        <w:tc>
          <w:tcPr>
            <w:tcW w:w="1530" w:type="dxa"/>
            <w:tcBorders>
              <w:top w:val="nil"/>
              <w:left w:val="single" w:sz="18" w:space="0" w:color="CED9D6"/>
              <w:bottom w:val="nil"/>
              <w:right w:val="nil"/>
            </w:tcBorders>
            <w:shd w:val="clear" w:color="auto" w:fill="auto"/>
          </w:tcPr>
          <w:p w14:paraId="78FF20D2" w14:textId="176A34CE" w:rsidR="008216A9" w:rsidRPr="008216A9" w:rsidRDefault="008216A9" w:rsidP="003E0901">
            <w:pPr>
              <w:ind w:left="160"/>
              <w:rPr>
                <w:color w:val="788B8E"/>
                <w:sz w:val="28"/>
                <w:szCs w:val="28"/>
              </w:rPr>
            </w:pPr>
            <w:r>
              <w:rPr>
                <w:color w:val="788B8E"/>
                <w:sz w:val="28"/>
              </w:rPr>
              <w:t>Énoncé de</w:t>
            </w:r>
          </w:p>
          <w:p w14:paraId="2071BC57" w14:textId="6E9B0A07" w:rsidR="008216A9" w:rsidRPr="008216A9" w:rsidRDefault="008216A9" w:rsidP="003E0901">
            <w:pPr>
              <w:spacing w:after="120"/>
              <w:ind w:left="160"/>
              <w:rPr>
                <w:color w:val="000000" w:themeColor="text1"/>
              </w:rPr>
            </w:pPr>
            <w:r>
              <w:rPr>
                <w:color w:val="788B8E"/>
              </w:rPr>
              <w:t>VISION</w:t>
            </w:r>
          </w:p>
        </w:tc>
        <w:tc>
          <w:tcPr>
            <w:tcW w:w="5616" w:type="dxa"/>
            <w:tcBorders>
              <w:top w:val="nil"/>
              <w:left w:val="nil"/>
              <w:bottom w:val="single" w:sz="18" w:space="0" w:color="CED9D6"/>
              <w:right w:val="single" w:sz="18" w:space="0" w:color="CED9D6"/>
            </w:tcBorders>
            <w:shd w:val="clear" w:color="auto" w:fill="F1F6F4"/>
          </w:tcPr>
          <w:p w14:paraId="07A53DBC" w14:textId="77777777" w:rsidR="00482C57" w:rsidRPr="00901FA1" w:rsidRDefault="00482C57" w:rsidP="004C1201">
            <w:pPr>
              <w:spacing w:after="120"/>
              <w:rPr>
                <w:color w:val="000000" w:themeColor="text1"/>
                <w:sz w:val="24"/>
                <w:szCs w:val="24"/>
              </w:rPr>
            </w:pPr>
            <w:r>
              <w:rPr>
                <w:color w:val="000000" w:themeColor="text1"/>
                <w:sz w:val="24"/>
              </w:rPr>
              <w:t>Notre vision consiste à devenir le leader mondial du secteur de la recharge des véhicules électriques, en établissant la norme en matière d’innovation, de satisfaction client et de gestion de l’environnement.</w:t>
            </w:r>
          </w:p>
          <w:p w14:paraId="2048692F" w14:textId="77777777" w:rsidR="00901FA1" w:rsidRPr="00901FA1" w:rsidRDefault="00482C57" w:rsidP="004C1201">
            <w:pPr>
              <w:spacing w:after="120"/>
              <w:rPr>
                <w:color w:val="000000" w:themeColor="text1"/>
                <w:sz w:val="24"/>
                <w:szCs w:val="24"/>
              </w:rPr>
            </w:pPr>
            <w:r>
              <w:rPr>
                <w:color w:val="000000" w:themeColor="text1"/>
                <w:sz w:val="24"/>
              </w:rPr>
              <w:t>D’ici 20XX, Positive Charge vise à créer le réseau de recharge le plus étendu et le plus avancé du point de vue technologique, garantissant une mobilité transparente et durable dans le monde entier.</w:t>
            </w:r>
          </w:p>
          <w:p w14:paraId="4F668E39" w14:textId="7C92A171" w:rsidR="008216A9" w:rsidRPr="001E16F8" w:rsidRDefault="00482C57" w:rsidP="004C1201">
            <w:pPr>
              <w:spacing w:after="120"/>
              <w:rPr>
                <w:color w:val="000000" w:themeColor="text1"/>
              </w:rPr>
            </w:pPr>
            <w:r>
              <w:rPr>
                <w:color w:val="000000" w:themeColor="text1"/>
                <w:sz w:val="24"/>
              </w:rPr>
              <w:t>Nous rêvons d’un avenir où le transport électrique sera la norme, alimenté par des énergies renouvelables et accessible à tous, partout.</w:t>
            </w:r>
          </w:p>
        </w:tc>
      </w:tr>
    </w:tbl>
    <w:p w14:paraId="324C9E84" w14:textId="49A73F52" w:rsidR="00482C57" w:rsidRDefault="00482C57" w:rsidP="008216A9">
      <w:pPr>
        <w:spacing w:line="240" w:lineRule="auto"/>
        <w:jc w:val="center"/>
        <w:rPr>
          <w:color w:val="595959" w:themeColor="text1" w:themeTint="A6"/>
          <w:sz w:val="20"/>
          <w:szCs w:val="20"/>
        </w:rPr>
      </w:pPr>
    </w:p>
    <w:p w14:paraId="30351BE9" w14:textId="77777777" w:rsidR="00482C57" w:rsidRDefault="00482C57">
      <w:pPr>
        <w:rPr>
          <w:color w:val="595959" w:themeColor="text1" w:themeTint="A6"/>
          <w:sz w:val="20"/>
          <w:szCs w:val="20"/>
        </w:rPr>
      </w:pPr>
      <w:r>
        <w:rPr>
          <w:color w:val="595959" w:themeColor="text1" w:themeTint="A6"/>
          <w:sz w:val="20"/>
          <w:szCs w:val="20"/>
        </w:rPr>
        <w:br w:type="page"/>
      </w:r>
    </w:p>
    <w:p w14:paraId="70DC2C95" w14:textId="77777777" w:rsidR="008216A9" w:rsidRPr="008216A9" w:rsidRDefault="008216A9" w:rsidP="008216A9">
      <w:pPr>
        <w:spacing w:line="240" w:lineRule="auto"/>
        <w:jc w:val="center"/>
        <w:rPr>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74"/>
        <w:gridCol w:w="2509"/>
        <w:gridCol w:w="2512"/>
        <w:gridCol w:w="2511"/>
        <w:gridCol w:w="2364"/>
        <w:gridCol w:w="2654"/>
      </w:tblGrid>
      <w:tr w:rsidR="0088159D" w:rsidRPr="000029E5" w14:paraId="7DB51B5A" w14:textId="77777777" w:rsidTr="00BE38F9">
        <w:trPr>
          <w:trHeight w:val="619"/>
        </w:trPr>
        <w:tc>
          <w:tcPr>
            <w:tcW w:w="2074" w:type="dxa"/>
            <w:tcBorders>
              <w:top w:val="nil"/>
              <w:left w:val="nil"/>
              <w:right w:val="single" w:sz="18" w:space="0" w:color="CED9D6"/>
            </w:tcBorders>
            <w:vAlign w:val="center"/>
          </w:tcPr>
          <w:p w14:paraId="6DA5EE36" w14:textId="011FA9DA" w:rsidR="000029E5" w:rsidRPr="000029E5" w:rsidRDefault="000029E5" w:rsidP="0088159D">
            <w:pPr>
              <w:rPr>
                <w:color w:val="90A6A9"/>
                <w:sz w:val="40"/>
                <w:szCs w:val="40"/>
              </w:rPr>
            </w:pPr>
          </w:p>
        </w:tc>
        <w:tc>
          <w:tcPr>
            <w:tcW w:w="2509" w:type="dxa"/>
            <w:tcBorders>
              <w:top w:val="single" w:sz="18" w:space="0" w:color="CED9D6"/>
              <w:left w:val="single" w:sz="18" w:space="0" w:color="CED9D6"/>
            </w:tcBorders>
            <w:shd w:val="clear" w:color="auto" w:fill="E2E23A"/>
            <w:vAlign w:val="center"/>
          </w:tcPr>
          <w:p w14:paraId="11B08FC5" w14:textId="4D1E075E" w:rsidR="000029E5" w:rsidRPr="000154E8" w:rsidRDefault="00807F13" w:rsidP="0088159D">
            <w:pPr>
              <w:rPr>
                <w:color w:val="595959" w:themeColor="text1" w:themeTint="A6"/>
                <w:sz w:val="20"/>
                <w:szCs w:val="20"/>
              </w:rPr>
            </w:pPr>
            <w:r>
              <w:rPr>
                <w:color w:val="595959" w:themeColor="text1" w:themeTint="A6"/>
                <w:sz w:val="20"/>
              </w:rPr>
              <w:t xml:space="preserve">OBJECTIFS DE L’ANNÉE 1 - </w:t>
            </w:r>
            <w:r w:rsidRPr="000154E8">
              <w:rPr>
                <w:color w:val="595959" w:themeColor="text1" w:themeTint="A6"/>
                <w:sz w:val="24"/>
                <w:szCs w:val="24"/>
              </w:rPr>
              <w:t>20XX</w:t>
            </w:r>
          </w:p>
        </w:tc>
        <w:tc>
          <w:tcPr>
            <w:tcW w:w="2512" w:type="dxa"/>
            <w:tcBorders>
              <w:top w:val="single" w:sz="18" w:space="0" w:color="CED9D6"/>
            </w:tcBorders>
            <w:shd w:val="clear" w:color="auto" w:fill="E2E23A"/>
            <w:vAlign w:val="center"/>
          </w:tcPr>
          <w:p w14:paraId="3D883FAD" w14:textId="719178CA" w:rsidR="000029E5" w:rsidRPr="000154E8" w:rsidRDefault="00807F13" w:rsidP="0088159D">
            <w:pPr>
              <w:rPr>
                <w:color w:val="595959" w:themeColor="text1" w:themeTint="A6"/>
                <w:sz w:val="20"/>
                <w:szCs w:val="20"/>
              </w:rPr>
            </w:pPr>
            <w:r>
              <w:rPr>
                <w:color w:val="595959" w:themeColor="text1" w:themeTint="A6"/>
                <w:sz w:val="20"/>
              </w:rPr>
              <w:t xml:space="preserve">OBJECTIFS DE L’ANNÉE 2 - </w:t>
            </w:r>
            <w:r w:rsidRPr="000154E8">
              <w:rPr>
                <w:color w:val="595959" w:themeColor="text1" w:themeTint="A6"/>
                <w:sz w:val="24"/>
                <w:szCs w:val="24"/>
              </w:rPr>
              <w:t>20XX</w:t>
            </w:r>
          </w:p>
        </w:tc>
        <w:tc>
          <w:tcPr>
            <w:tcW w:w="2511" w:type="dxa"/>
            <w:tcBorders>
              <w:top w:val="single" w:sz="18" w:space="0" w:color="CED9D6"/>
            </w:tcBorders>
            <w:shd w:val="clear" w:color="auto" w:fill="E2E23A"/>
            <w:vAlign w:val="center"/>
          </w:tcPr>
          <w:p w14:paraId="2EFF91C9" w14:textId="7BC3B972" w:rsidR="000029E5" w:rsidRPr="000154E8" w:rsidRDefault="00807F13" w:rsidP="0088159D">
            <w:pPr>
              <w:rPr>
                <w:color w:val="595959" w:themeColor="text1" w:themeTint="A6"/>
                <w:sz w:val="20"/>
                <w:szCs w:val="20"/>
              </w:rPr>
            </w:pPr>
            <w:r>
              <w:rPr>
                <w:color w:val="595959" w:themeColor="text1" w:themeTint="A6"/>
                <w:sz w:val="20"/>
              </w:rPr>
              <w:t xml:space="preserve">OBJECTIFS DE L’ANNÉE 3 - </w:t>
            </w:r>
            <w:r w:rsidRPr="000154E8">
              <w:rPr>
                <w:color w:val="595959" w:themeColor="text1" w:themeTint="A6"/>
                <w:sz w:val="24"/>
                <w:szCs w:val="24"/>
              </w:rPr>
              <w:t>20XX</w:t>
            </w:r>
          </w:p>
        </w:tc>
        <w:tc>
          <w:tcPr>
            <w:tcW w:w="2364" w:type="dxa"/>
            <w:tcBorders>
              <w:top w:val="single" w:sz="18" w:space="0" w:color="CED9D6"/>
            </w:tcBorders>
            <w:shd w:val="clear" w:color="auto" w:fill="E2E23A"/>
            <w:vAlign w:val="center"/>
          </w:tcPr>
          <w:p w14:paraId="1D889FDE" w14:textId="20E15098" w:rsidR="000029E5" w:rsidRPr="000154E8" w:rsidRDefault="00807F13" w:rsidP="0088159D">
            <w:pPr>
              <w:rPr>
                <w:color w:val="595959" w:themeColor="text1" w:themeTint="A6"/>
                <w:sz w:val="20"/>
                <w:szCs w:val="20"/>
              </w:rPr>
            </w:pPr>
            <w:r>
              <w:rPr>
                <w:color w:val="595959" w:themeColor="text1" w:themeTint="A6"/>
                <w:sz w:val="20"/>
              </w:rPr>
              <w:t xml:space="preserve">OBJECTIFS DE L’ANNÉE 4 - </w:t>
            </w:r>
            <w:r w:rsidRPr="000154E8">
              <w:rPr>
                <w:color w:val="595959" w:themeColor="text1" w:themeTint="A6"/>
                <w:sz w:val="24"/>
                <w:szCs w:val="24"/>
              </w:rPr>
              <w:t>20XX</w:t>
            </w:r>
          </w:p>
        </w:tc>
        <w:tc>
          <w:tcPr>
            <w:tcW w:w="2654" w:type="dxa"/>
            <w:tcBorders>
              <w:top w:val="single" w:sz="18" w:space="0" w:color="CED9D6"/>
            </w:tcBorders>
            <w:shd w:val="clear" w:color="auto" w:fill="E2E23A"/>
            <w:vAlign w:val="center"/>
          </w:tcPr>
          <w:p w14:paraId="1D69C4F1" w14:textId="1688A489" w:rsidR="000029E5" w:rsidRPr="000154E8" w:rsidRDefault="00807F13" w:rsidP="0088159D">
            <w:pPr>
              <w:rPr>
                <w:color w:val="595959" w:themeColor="text1" w:themeTint="A6"/>
                <w:sz w:val="20"/>
                <w:szCs w:val="20"/>
              </w:rPr>
            </w:pPr>
            <w:r>
              <w:rPr>
                <w:color w:val="595959" w:themeColor="text1" w:themeTint="A6"/>
                <w:sz w:val="20"/>
              </w:rPr>
              <w:t xml:space="preserve">OBJECTIFS DE L’ANNÉE 5 - </w:t>
            </w:r>
            <w:r w:rsidRPr="000154E8">
              <w:rPr>
                <w:color w:val="595959" w:themeColor="text1" w:themeTint="A6"/>
                <w:sz w:val="24"/>
                <w:szCs w:val="24"/>
              </w:rPr>
              <w:t>20XX</w:t>
            </w:r>
          </w:p>
        </w:tc>
      </w:tr>
      <w:tr w:rsidR="0088159D" w:rsidRPr="000029E5" w14:paraId="533337FB" w14:textId="77777777" w:rsidTr="00BE38F9">
        <w:trPr>
          <w:trHeight w:val="1672"/>
        </w:trPr>
        <w:tc>
          <w:tcPr>
            <w:tcW w:w="2074" w:type="dxa"/>
            <w:tcBorders>
              <w:right w:val="single" w:sz="18" w:space="0" w:color="CED9D6"/>
            </w:tcBorders>
            <w:shd w:val="clear" w:color="auto" w:fill="FAF9D3"/>
            <w:vAlign w:val="center"/>
          </w:tcPr>
          <w:p w14:paraId="3AF50451" w14:textId="6BD4CCC3" w:rsidR="0088159D" w:rsidRPr="008216A9" w:rsidRDefault="00807F13" w:rsidP="0088159D">
            <w:pPr>
              <w:rPr>
                <w:color w:val="000000" w:themeColor="text1"/>
                <w:sz w:val="21"/>
                <w:szCs w:val="21"/>
              </w:rPr>
            </w:pPr>
            <w:r>
              <w:rPr>
                <w:color w:val="000000" w:themeColor="text1"/>
                <w:sz w:val="21"/>
              </w:rPr>
              <w:t>FINANCES</w:t>
            </w:r>
          </w:p>
        </w:tc>
        <w:tc>
          <w:tcPr>
            <w:tcW w:w="2509" w:type="dxa"/>
            <w:tcBorders>
              <w:left w:val="single" w:sz="18" w:space="0" w:color="CED9D6"/>
            </w:tcBorders>
          </w:tcPr>
          <w:p w14:paraId="64B37C94" w14:textId="4A4A8C57" w:rsidR="0088159D" w:rsidRPr="00BE38F9" w:rsidRDefault="00901FA1" w:rsidP="00BE38F9">
            <w:pPr>
              <w:spacing w:line="228" w:lineRule="auto"/>
              <w:rPr>
                <w:color w:val="000000" w:themeColor="text1"/>
                <w:sz w:val="14"/>
                <w:szCs w:val="14"/>
              </w:rPr>
            </w:pPr>
            <w:r w:rsidRPr="00BE38F9">
              <w:rPr>
                <w:color w:val="000000" w:themeColor="text1"/>
                <w:sz w:val="14"/>
                <w:szCs w:val="14"/>
                <w:u w:val="single"/>
              </w:rPr>
              <w:t>Pose des bases</w:t>
            </w:r>
            <w:r w:rsidRPr="00BE38F9">
              <w:rPr>
                <w:color w:val="000000" w:themeColor="text1"/>
                <w:sz w:val="14"/>
                <w:szCs w:val="14"/>
              </w:rPr>
              <w:t> : réaliser un chiffre d’affaires de 4,5 millions d’euros en développant le réseau de recharge de 15 %. Obtenir un financement de 1,8 million d’euros pour la mise à niveau et le développement des technologies.</w:t>
            </w:r>
          </w:p>
        </w:tc>
        <w:tc>
          <w:tcPr>
            <w:tcW w:w="2512" w:type="dxa"/>
            <w:shd w:val="clear" w:color="auto" w:fill="FAFAFA"/>
          </w:tcPr>
          <w:p w14:paraId="2BDC87AA" w14:textId="1B1021A0" w:rsidR="008F58FD" w:rsidRPr="00BE38F9" w:rsidRDefault="00954C5C" w:rsidP="00BE38F9">
            <w:pPr>
              <w:spacing w:line="228" w:lineRule="auto"/>
              <w:rPr>
                <w:color w:val="000000" w:themeColor="text1"/>
                <w:sz w:val="14"/>
                <w:szCs w:val="14"/>
              </w:rPr>
            </w:pPr>
            <w:r w:rsidRPr="00BE38F9">
              <w:rPr>
                <w:color w:val="000000" w:themeColor="text1"/>
                <w:sz w:val="14"/>
                <w:szCs w:val="14"/>
                <w:u w:val="single"/>
              </w:rPr>
              <w:t>Croissance et expansion</w:t>
            </w:r>
            <w:r w:rsidRPr="00BE38F9">
              <w:rPr>
                <w:color w:val="000000" w:themeColor="text1"/>
                <w:sz w:val="14"/>
                <w:szCs w:val="14"/>
              </w:rPr>
              <w:t> : augmenter le chiffre d’affaires de 20 %, en se concentrant sur les zones urbaines où la demande est forte.</w:t>
            </w:r>
          </w:p>
          <w:p w14:paraId="54BF1BD9" w14:textId="464D54EE" w:rsidR="0088159D" w:rsidRPr="00BE38F9" w:rsidRDefault="008F58FD" w:rsidP="00BE38F9">
            <w:pPr>
              <w:spacing w:line="228" w:lineRule="auto"/>
              <w:rPr>
                <w:color w:val="000000" w:themeColor="text1"/>
                <w:sz w:val="14"/>
                <w:szCs w:val="14"/>
              </w:rPr>
            </w:pPr>
            <w:r w:rsidRPr="00BE38F9">
              <w:rPr>
                <w:color w:val="000000" w:themeColor="text1"/>
                <w:sz w:val="14"/>
                <w:szCs w:val="14"/>
              </w:rPr>
              <w:t xml:space="preserve">Réduire les coûts d’exploitation de 5 % en améliorant l’efficacité. </w:t>
            </w:r>
          </w:p>
        </w:tc>
        <w:tc>
          <w:tcPr>
            <w:tcW w:w="2511" w:type="dxa"/>
          </w:tcPr>
          <w:p w14:paraId="3F48B8AD" w14:textId="334503ED" w:rsidR="00A85C00" w:rsidRPr="00BE38F9" w:rsidRDefault="008F58FD" w:rsidP="00BE38F9">
            <w:pPr>
              <w:spacing w:line="228" w:lineRule="auto"/>
              <w:rPr>
                <w:color w:val="000000" w:themeColor="text1"/>
                <w:sz w:val="14"/>
                <w:szCs w:val="14"/>
              </w:rPr>
            </w:pPr>
            <w:r w:rsidRPr="00BE38F9">
              <w:rPr>
                <w:color w:val="000000" w:themeColor="text1"/>
                <w:sz w:val="14"/>
                <w:szCs w:val="14"/>
                <w:u w:val="single"/>
              </w:rPr>
              <w:t>Consolidation et rentabilité</w:t>
            </w:r>
            <w:r w:rsidRPr="00BE38F9">
              <w:rPr>
                <w:color w:val="000000" w:themeColor="text1"/>
                <w:sz w:val="14"/>
                <w:szCs w:val="14"/>
              </w:rPr>
              <w:t> : atteindre un chiffre d’affaires de 13,5 millions d’euros grâce à des partenariats stratégiques et à la diversification des services.</w:t>
            </w:r>
          </w:p>
          <w:p w14:paraId="429C24C1" w14:textId="63E1AA4C" w:rsidR="0088159D" w:rsidRPr="00BE38F9" w:rsidRDefault="00A85C00" w:rsidP="00BE38F9">
            <w:pPr>
              <w:spacing w:line="228" w:lineRule="auto"/>
              <w:rPr>
                <w:color w:val="000000" w:themeColor="text1"/>
                <w:sz w:val="14"/>
                <w:szCs w:val="14"/>
              </w:rPr>
            </w:pPr>
            <w:r w:rsidRPr="00BE38F9">
              <w:rPr>
                <w:color w:val="000000" w:themeColor="text1"/>
                <w:sz w:val="14"/>
                <w:szCs w:val="14"/>
              </w:rPr>
              <w:t>Réaliser une marge bénéficiaire de 15 % en optimisant les opérations et la gestion des coûts.</w:t>
            </w:r>
          </w:p>
        </w:tc>
        <w:tc>
          <w:tcPr>
            <w:tcW w:w="2364" w:type="dxa"/>
            <w:shd w:val="clear" w:color="auto" w:fill="FAFAFA"/>
          </w:tcPr>
          <w:p w14:paraId="7B3AE08B" w14:textId="172B5893" w:rsidR="0088159D" w:rsidRPr="00BE38F9" w:rsidRDefault="00A85C00" w:rsidP="00BE38F9">
            <w:pPr>
              <w:spacing w:line="228" w:lineRule="auto"/>
              <w:rPr>
                <w:color w:val="000000" w:themeColor="text1"/>
                <w:sz w:val="14"/>
                <w:szCs w:val="14"/>
              </w:rPr>
            </w:pPr>
            <w:r w:rsidRPr="00BE38F9">
              <w:rPr>
                <w:color w:val="000000" w:themeColor="text1"/>
                <w:sz w:val="14"/>
                <w:szCs w:val="14"/>
                <w:u w:val="single"/>
              </w:rPr>
              <w:t>Leadership sur le marché</w:t>
            </w:r>
            <w:r w:rsidRPr="00BE38F9">
              <w:rPr>
                <w:color w:val="000000" w:themeColor="text1"/>
                <w:sz w:val="14"/>
                <w:szCs w:val="14"/>
              </w:rPr>
              <w:t> : atteindre un chiffre d’affaires de 22,5 millions d’euros en introduisant des solutions de recharge innovantes. Étendre les activités à l’international, en commençant par des projets pilotes en Europe et en Asie.</w:t>
            </w:r>
          </w:p>
        </w:tc>
        <w:tc>
          <w:tcPr>
            <w:tcW w:w="2654" w:type="dxa"/>
          </w:tcPr>
          <w:p w14:paraId="1CC52BEF" w14:textId="791D1FC0" w:rsidR="0088159D" w:rsidRPr="00BE38F9" w:rsidRDefault="00A85C00" w:rsidP="00BE38F9">
            <w:pPr>
              <w:spacing w:line="228" w:lineRule="auto"/>
              <w:rPr>
                <w:color w:val="000000" w:themeColor="text1"/>
                <w:sz w:val="14"/>
                <w:szCs w:val="14"/>
              </w:rPr>
            </w:pPr>
            <w:r w:rsidRPr="00BE38F9">
              <w:rPr>
                <w:color w:val="000000" w:themeColor="text1"/>
                <w:sz w:val="14"/>
                <w:szCs w:val="14"/>
                <w:u w:val="single"/>
              </w:rPr>
              <w:t>Durabilité et innovation</w:t>
            </w:r>
            <w:r w:rsidRPr="00BE38F9">
              <w:rPr>
                <w:color w:val="000000" w:themeColor="text1"/>
                <w:sz w:val="14"/>
                <w:szCs w:val="14"/>
              </w:rPr>
              <w:t> : dépasser les 31,6 millions d’euros de chiffre d’affaires en étant à la pointe des pratiques durables et de l’intégration des énergies renouvelables. Investir 10 % des bénéfices dans la R&amp;D pour les technologies de recharge des véhicules électriques nouvelle génération.</w:t>
            </w:r>
          </w:p>
        </w:tc>
      </w:tr>
      <w:tr w:rsidR="0088159D" w:rsidRPr="000029E5" w14:paraId="640E1C04" w14:textId="77777777" w:rsidTr="00BE38F9">
        <w:trPr>
          <w:trHeight w:val="1789"/>
        </w:trPr>
        <w:tc>
          <w:tcPr>
            <w:tcW w:w="2074" w:type="dxa"/>
            <w:tcBorders>
              <w:right w:val="single" w:sz="18" w:space="0" w:color="CED9D6"/>
            </w:tcBorders>
            <w:shd w:val="clear" w:color="auto" w:fill="FAF9D3"/>
            <w:vAlign w:val="center"/>
          </w:tcPr>
          <w:p w14:paraId="6EF76EF3" w14:textId="2E152536" w:rsidR="0088159D" w:rsidRPr="008216A9" w:rsidRDefault="00807F13" w:rsidP="0088159D">
            <w:pPr>
              <w:rPr>
                <w:color w:val="000000" w:themeColor="text1"/>
                <w:sz w:val="21"/>
                <w:szCs w:val="21"/>
              </w:rPr>
            </w:pPr>
            <w:r>
              <w:rPr>
                <w:color w:val="000000" w:themeColor="text1"/>
                <w:sz w:val="21"/>
              </w:rPr>
              <w:t>MARKETING</w:t>
            </w:r>
          </w:p>
        </w:tc>
        <w:tc>
          <w:tcPr>
            <w:tcW w:w="2509" w:type="dxa"/>
            <w:tcBorders>
              <w:left w:val="single" w:sz="18" w:space="0" w:color="CED9D6"/>
            </w:tcBorders>
          </w:tcPr>
          <w:p w14:paraId="25684728" w14:textId="7C6DD2B2" w:rsidR="0088159D" w:rsidRPr="00BE38F9" w:rsidRDefault="00AE5812" w:rsidP="00BE38F9">
            <w:pPr>
              <w:spacing w:line="228" w:lineRule="auto"/>
              <w:rPr>
                <w:color w:val="000000" w:themeColor="text1"/>
                <w:sz w:val="14"/>
                <w:szCs w:val="14"/>
              </w:rPr>
            </w:pPr>
            <w:r w:rsidRPr="00BE38F9">
              <w:rPr>
                <w:color w:val="000000" w:themeColor="text1"/>
                <w:sz w:val="14"/>
                <w:szCs w:val="14"/>
                <w:u w:val="single"/>
              </w:rPr>
              <w:t>Notoriété de la marque</w:t>
            </w:r>
            <w:r w:rsidRPr="00BE38F9">
              <w:rPr>
                <w:color w:val="000000" w:themeColor="text1"/>
                <w:sz w:val="14"/>
                <w:szCs w:val="14"/>
              </w:rPr>
              <w:t xml:space="preserve"> : lancer une campagne de marketing numérique complète pour accroître la visibilité de la marque. Établir des partenariats avec les constructeurs de véhicules électriques pour saisir toutes les opportunités de </w:t>
            </w:r>
            <w:proofErr w:type="spellStart"/>
            <w:r w:rsidRPr="00BE38F9">
              <w:rPr>
                <w:color w:val="000000" w:themeColor="text1"/>
                <w:sz w:val="14"/>
                <w:szCs w:val="14"/>
              </w:rPr>
              <w:t>co</w:t>
            </w:r>
            <w:proofErr w:type="spellEnd"/>
            <w:r w:rsidRPr="00BE38F9">
              <w:rPr>
                <w:color w:val="000000" w:themeColor="text1"/>
                <w:sz w:val="14"/>
                <w:szCs w:val="14"/>
              </w:rPr>
              <w:t>-marketing.</w:t>
            </w:r>
          </w:p>
        </w:tc>
        <w:tc>
          <w:tcPr>
            <w:tcW w:w="2512" w:type="dxa"/>
            <w:shd w:val="clear" w:color="auto" w:fill="FAFAFA"/>
          </w:tcPr>
          <w:p w14:paraId="2C7E8C25" w14:textId="4E07CF8E" w:rsidR="0088159D" w:rsidRPr="00BE38F9" w:rsidRDefault="00A43A23" w:rsidP="00BE38F9">
            <w:pPr>
              <w:spacing w:line="228" w:lineRule="auto"/>
              <w:rPr>
                <w:color w:val="000000" w:themeColor="text1"/>
                <w:sz w:val="14"/>
                <w:szCs w:val="14"/>
              </w:rPr>
            </w:pPr>
            <w:r w:rsidRPr="00BE38F9">
              <w:rPr>
                <w:color w:val="000000" w:themeColor="text1"/>
                <w:sz w:val="14"/>
                <w:szCs w:val="14"/>
                <w:u w:val="single"/>
              </w:rPr>
              <w:t>Pénétration du marché</w:t>
            </w:r>
            <w:r w:rsidRPr="00BE38F9">
              <w:rPr>
                <w:color w:val="000000" w:themeColor="text1"/>
                <w:sz w:val="14"/>
                <w:szCs w:val="14"/>
              </w:rPr>
              <w:t> : mettre en place des programmes de fidélité et des mesures incitatives pour les utilisateurs fréquents. Organiser des événements visant à promouvoir les véhicules électriques et la durabilité afin de sensibiliser les clients potentiels et d’interagir avec eux.</w:t>
            </w:r>
          </w:p>
        </w:tc>
        <w:tc>
          <w:tcPr>
            <w:tcW w:w="2511" w:type="dxa"/>
          </w:tcPr>
          <w:p w14:paraId="0DD32D47" w14:textId="1675A7AC" w:rsidR="0088159D" w:rsidRPr="00BE38F9" w:rsidRDefault="00053358" w:rsidP="00BE38F9">
            <w:pPr>
              <w:spacing w:line="228" w:lineRule="auto"/>
              <w:rPr>
                <w:color w:val="000000" w:themeColor="text1"/>
                <w:sz w:val="14"/>
                <w:szCs w:val="14"/>
              </w:rPr>
            </w:pPr>
            <w:r w:rsidRPr="00BE38F9">
              <w:rPr>
                <w:color w:val="000000" w:themeColor="text1"/>
                <w:sz w:val="14"/>
                <w:szCs w:val="14"/>
                <w:u w:val="single"/>
              </w:rPr>
              <w:t>Engagement client :</w:t>
            </w:r>
            <w:r w:rsidRPr="00BE38F9">
              <w:rPr>
                <w:color w:val="000000" w:themeColor="text1"/>
                <w:sz w:val="14"/>
                <w:szCs w:val="14"/>
              </w:rPr>
              <w:t xml:space="preserve"> exploiter les réseaux sociaux et les commentaires des clients pour améliorer l’expérience utilisateur. Mettre en place des programmes de recommandation pour augmenter le nombre d’utilisateurs. </w:t>
            </w:r>
          </w:p>
        </w:tc>
        <w:tc>
          <w:tcPr>
            <w:tcW w:w="2364" w:type="dxa"/>
            <w:shd w:val="clear" w:color="auto" w:fill="FAFAFA"/>
          </w:tcPr>
          <w:p w14:paraId="1E90D385" w14:textId="77777777" w:rsidR="005069D7" w:rsidRPr="00BE38F9" w:rsidRDefault="00053358" w:rsidP="00BE38F9">
            <w:pPr>
              <w:spacing w:line="228" w:lineRule="auto"/>
              <w:rPr>
                <w:color w:val="000000" w:themeColor="text1"/>
                <w:sz w:val="14"/>
                <w:szCs w:val="14"/>
              </w:rPr>
            </w:pPr>
            <w:r w:rsidRPr="00BE38F9">
              <w:rPr>
                <w:color w:val="000000" w:themeColor="text1"/>
                <w:sz w:val="14"/>
                <w:szCs w:val="14"/>
              </w:rPr>
              <w:t xml:space="preserve">Expansion et diversification : </w:t>
            </w:r>
            <w:r w:rsidRPr="00BE38F9">
              <w:rPr>
                <w:color w:val="000000" w:themeColor="text1"/>
                <w:sz w:val="14"/>
                <w:szCs w:val="14"/>
                <w:u w:val="single"/>
              </w:rPr>
              <w:t>pénétrer dans de nouveaux marchés grâce à des stratégies marketing ciblées sur les consommateurs locaux.</w:t>
            </w:r>
          </w:p>
          <w:p w14:paraId="797CBB5B" w14:textId="350F596D" w:rsidR="0088159D" w:rsidRPr="00BE38F9" w:rsidRDefault="005069D7" w:rsidP="00BE38F9">
            <w:pPr>
              <w:spacing w:line="228" w:lineRule="auto"/>
              <w:rPr>
                <w:color w:val="000000" w:themeColor="text1"/>
                <w:sz w:val="14"/>
                <w:szCs w:val="14"/>
              </w:rPr>
            </w:pPr>
            <w:r w:rsidRPr="00BE38F9">
              <w:rPr>
                <w:color w:val="000000" w:themeColor="text1"/>
                <w:sz w:val="14"/>
                <w:szCs w:val="14"/>
              </w:rPr>
              <w:t>Diversifier les efforts marketing de façon à inclure les segments B2B, en se concentrant sur les entreprises de logistique.</w:t>
            </w:r>
          </w:p>
        </w:tc>
        <w:tc>
          <w:tcPr>
            <w:tcW w:w="2654" w:type="dxa"/>
          </w:tcPr>
          <w:p w14:paraId="412C8599" w14:textId="24830FC5" w:rsidR="0088159D" w:rsidRPr="00BE38F9" w:rsidRDefault="005069D7" w:rsidP="00BE38F9">
            <w:pPr>
              <w:spacing w:line="228" w:lineRule="auto"/>
              <w:rPr>
                <w:color w:val="000000" w:themeColor="text1"/>
                <w:spacing w:val="-1"/>
                <w:sz w:val="14"/>
                <w:szCs w:val="14"/>
              </w:rPr>
            </w:pPr>
            <w:r w:rsidRPr="00BE38F9">
              <w:rPr>
                <w:color w:val="000000" w:themeColor="text1"/>
                <w:spacing w:val="-1"/>
                <w:sz w:val="14"/>
                <w:szCs w:val="14"/>
                <w:u w:val="single"/>
              </w:rPr>
              <w:t>Leadership de la marque </w:t>
            </w:r>
            <w:r w:rsidRPr="00BE38F9">
              <w:rPr>
                <w:color w:val="000000" w:themeColor="text1"/>
                <w:spacing w:val="-1"/>
                <w:sz w:val="14"/>
                <w:szCs w:val="14"/>
              </w:rPr>
              <w:t>: positionner Positive Charge en tant que leader d’opinion en matière d’innovation dans le domaine de la recharge des véhicules électriques par le biais de conférences et de publications. Renforcer la crédibilité de la marque en mettant en avant les initiatives en matière de durabilité et les réussites des clients.</w:t>
            </w:r>
          </w:p>
        </w:tc>
      </w:tr>
      <w:tr w:rsidR="0088159D" w:rsidRPr="000029E5" w14:paraId="7D91EEA5" w14:textId="77777777" w:rsidTr="00BE38F9">
        <w:trPr>
          <w:trHeight w:val="1861"/>
        </w:trPr>
        <w:tc>
          <w:tcPr>
            <w:tcW w:w="2074" w:type="dxa"/>
            <w:tcBorders>
              <w:right w:val="single" w:sz="18" w:space="0" w:color="CED9D6"/>
            </w:tcBorders>
            <w:shd w:val="clear" w:color="auto" w:fill="FAF9D3"/>
            <w:vAlign w:val="center"/>
          </w:tcPr>
          <w:p w14:paraId="0C55B2B4" w14:textId="71D2870A" w:rsidR="0088159D" w:rsidRPr="008216A9" w:rsidRDefault="00807F13" w:rsidP="0088159D">
            <w:pPr>
              <w:rPr>
                <w:color w:val="000000" w:themeColor="text1"/>
                <w:sz w:val="21"/>
                <w:szCs w:val="21"/>
              </w:rPr>
            </w:pPr>
            <w:r>
              <w:rPr>
                <w:color w:val="000000" w:themeColor="text1"/>
                <w:sz w:val="21"/>
              </w:rPr>
              <w:t>ENGAGEMENT COMMUNAUTAIRE</w:t>
            </w:r>
          </w:p>
        </w:tc>
        <w:tc>
          <w:tcPr>
            <w:tcW w:w="2509" w:type="dxa"/>
            <w:tcBorders>
              <w:left w:val="single" w:sz="18" w:space="0" w:color="CED9D6"/>
            </w:tcBorders>
          </w:tcPr>
          <w:p w14:paraId="4EB5506C" w14:textId="53B7F8A6" w:rsidR="0088159D" w:rsidRPr="00BE38F9" w:rsidRDefault="00520499" w:rsidP="00BE38F9">
            <w:pPr>
              <w:spacing w:line="228" w:lineRule="auto"/>
              <w:rPr>
                <w:color w:val="000000" w:themeColor="text1"/>
                <w:sz w:val="14"/>
                <w:szCs w:val="14"/>
              </w:rPr>
            </w:pPr>
            <w:r w:rsidRPr="00BE38F9">
              <w:rPr>
                <w:color w:val="000000" w:themeColor="text1"/>
                <w:sz w:val="14"/>
                <w:szCs w:val="14"/>
                <w:u w:val="single"/>
              </w:rPr>
              <w:t>Développer des relations</w:t>
            </w:r>
            <w:r w:rsidRPr="00F50F93">
              <w:rPr>
                <w:color w:val="000000" w:themeColor="text1"/>
                <w:sz w:val="14"/>
                <w:szCs w:val="14"/>
              </w:rPr>
              <w:t> </w:t>
            </w:r>
            <w:r w:rsidRPr="00BE38F9">
              <w:rPr>
                <w:color w:val="000000" w:themeColor="text1"/>
                <w:sz w:val="14"/>
                <w:szCs w:val="14"/>
              </w:rPr>
              <w:t>: collaborer avec les autorités locales et les organisations communautaires dans le cadre de projets d’infrastructures pour les véhicules électriques. Sponsoriser des événements locaux liés à l’environnement et à la durabilité.</w:t>
            </w:r>
          </w:p>
        </w:tc>
        <w:tc>
          <w:tcPr>
            <w:tcW w:w="2512" w:type="dxa"/>
            <w:shd w:val="clear" w:color="auto" w:fill="FAFAFA"/>
          </w:tcPr>
          <w:p w14:paraId="1CDB1F72" w14:textId="1EEF3D7D" w:rsidR="0088159D" w:rsidRPr="00BE38F9" w:rsidRDefault="00533A0B" w:rsidP="00BE38F9">
            <w:pPr>
              <w:spacing w:line="228" w:lineRule="auto"/>
              <w:rPr>
                <w:color w:val="000000" w:themeColor="text1"/>
                <w:sz w:val="14"/>
                <w:szCs w:val="14"/>
              </w:rPr>
            </w:pPr>
            <w:r w:rsidRPr="00BE38F9">
              <w:rPr>
                <w:color w:val="000000" w:themeColor="text1"/>
                <w:sz w:val="14"/>
                <w:szCs w:val="14"/>
                <w:u w:val="single"/>
              </w:rPr>
              <w:t>Programmes communautaires </w:t>
            </w:r>
            <w:r w:rsidRPr="00BE38F9">
              <w:rPr>
                <w:color w:val="000000" w:themeColor="text1"/>
                <w:sz w:val="14"/>
                <w:szCs w:val="14"/>
              </w:rPr>
              <w:t>: lancer des programmes pédagogiques sur les véhicules électriques et la durabilité environnementale au sein des écoles et des communautés. Créer un programme de subventions pour les entreprises locales afin qu’elles installent des bornes de recharge de véhicules électriques.</w:t>
            </w:r>
          </w:p>
        </w:tc>
        <w:tc>
          <w:tcPr>
            <w:tcW w:w="2511" w:type="dxa"/>
          </w:tcPr>
          <w:p w14:paraId="1D521495" w14:textId="7D48826C" w:rsidR="0088159D" w:rsidRPr="00BE38F9" w:rsidRDefault="00533A0B" w:rsidP="00BE38F9">
            <w:pPr>
              <w:spacing w:line="228" w:lineRule="auto"/>
              <w:rPr>
                <w:color w:val="000000" w:themeColor="text1"/>
                <w:sz w:val="14"/>
                <w:szCs w:val="14"/>
              </w:rPr>
            </w:pPr>
            <w:r w:rsidRPr="00BE38F9">
              <w:rPr>
                <w:color w:val="000000" w:themeColor="text1"/>
                <w:sz w:val="14"/>
                <w:szCs w:val="14"/>
                <w:u w:val="single"/>
              </w:rPr>
              <w:t>Commentaires et adaptation :</w:t>
            </w:r>
            <w:r w:rsidRPr="00BE38F9">
              <w:rPr>
                <w:color w:val="000000" w:themeColor="text1"/>
                <w:sz w:val="14"/>
                <w:szCs w:val="14"/>
              </w:rPr>
              <w:t xml:space="preserve"> constituer un comité consultatif communautaire chargé de recueillir des commentaires sur l’emplacement des bornes de recharge et les services offerts. Mettre en œuvre les améliorations et les dispositifs d’accessibilité suggérés par la communauté.</w:t>
            </w:r>
          </w:p>
        </w:tc>
        <w:tc>
          <w:tcPr>
            <w:tcW w:w="2364" w:type="dxa"/>
            <w:shd w:val="clear" w:color="auto" w:fill="FAFAFA"/>
          </w:tcPr>
          <w:p w14:paraId="70EC6C7F" w14:textId="1E5845BC" w:rsidR="0088159D" w:rsidRPr="00BE38F9" w:rsidRDefault="009B2E64" w:rsidP="00BE38F9">
            <w:pPr>
              <w:spacing w:line="228" w:lineRule="auto"/>
              <w:rPr>
                <w:color w:val="000000" w:themeColor="text1"/>
                <w:sz w:val="14"/>
                <w:szCs w:val="14"/>
              </w:rPr>
            </w:pPr>
            <w:r w:rsidRPr="00BE38F9">
              <w:rPr>
                <w:color w:val="000000" w:themeColor="text1"/>
                <w:sz w:val="14"/>
                <w:szCs w:val="14"/>
                <w:u w:val="single"/>
              </w:rPr>
              <w:t>Élargir l’impact </w:t>
            </w:r>
            <w:r w:rsidRPr="00BE38F9">
              <w:rPr>
                <w:color w:val="000000" w:themeColor="text1"/>
                <w:sz w:val="14"/>
                <w:szCs w:val="14"/>
              </w:rPr>
              <w:t>: établir des partenariats avec des organisations à but non lucratif dans le cadre de projets de plus grande envergure visant à avoir un impact sur l’environnement. Augmenter l’engagement à travers des projets artistiques de la communauté sur les bornes de recharge.</w:t>
            </w:r>
          </w:p>
        </w:tc>
        <w:tc>
          <w:tcPr>
            <w:tcW w:w="2654" w:type="dxa"/>
          </w:tcPr>
          <w:p w14:paraId="771372A9" w14:textId="7B8BED5D" w:rsidR="003C4D8C" w:rsidRPr="00BE38F9" w:rsidRDefault="003C4D8C" w:rsidP="00BE38F9">
            <w:pPr>
              <w:spacing w:line="228" w:lineRule="auto"/>
              <w:rPr>
                <w:color w:val="000000" w:themeColor="text1"/>
                <w:sz w:val="14"/>
                <w:szCs w:val="14"/>
              </w:rPr>
            </w:pPr>
            <w:r w:rsidRPr="00BE38F9">
              <w:rPr>
                <w:color w:val="000000" w:themeColor="text1"/>
                <w:sz w:val="14"/>
                <w:szCs w:val="14"/>
              </w:rPr>
              <w:t>Héritage et leadership </w:t>
            </w:r>
            <w:r w:rsidR="009B2E64" w:rsidRPr="00BE38F9">
              <w:rPr>
                <w:color w:val="000000" w:themeColor="text1"/>
                <w:sz w:val="14"/>
                <w:szCs w:val="14"/>
                <w:u w:val="single"/>
              </w:rPr>
              <w:t>: mener des initiatives communautaires en matière d’énergies renouvelables et de durabilité et établir des normes pour l’industrie.</w:t>
            </w:r>
          </w:p>
          <w:p w14:paraId="390B3235" w14:textId="1593805A" w:rsidR="0088159D" w:rsidRPr="00BE38F9" w:rsidRDefault="003C4D8C" w:rsidP="00BE38F9">
            <w:pPr>
              <w:spacing w:line="228" w:lineRule="auto"/>
              <w:rPr>
                <w:color w:val="000000" w:themeColor="text1"/>
                <w:sz w:val="14"/>
                <w:szCs w:val="14"/>
              </w:rPr>
            </w:pPr>
            <w:r w:rsidRPr="00BE38F9">
              <w:rPr>
                <w:color w:val="000000" w:themeColor="text1"/>
                <w:sz w:val="14"/>
                <w:szCs w:val="14"/>
              </w:rPr>
              <w:t xml:space="preserve">Créer des centres communautaires Positive Charge à des fins d’éducation et d’innovation dans les grandes villes. </w:t>
            </w:r>
          </w:p>
        </w:tc>
      </w:tr>
      <w:tr w:rsidR="0088159D" w:rsidRPr="000029E5" w14:paraId="64E03964" w14:textId="77777777" w:rsidTr="00BE38F9">
        <w:trPr>
          <w:trHeight w:val="1510"/>
        </w:trPr>
        <w:tc>
          <w:tcPr>
            <w:tcW w:w="2074" w:type="dxa"/>
            <w:tcBorders>
              <w:right w:val="single" w:sz="18" w:space="0" w:color="CED9D6"/>
            </w:tcBorders>
            <w:shd w:val="clear" w:color="auto" w:fill="FAF9D3"/>
            <w:vAlign w:val="center"/>
          </w:tcPr>
          <w:p w14:paraId="627D3683" w14:textId="3664CE30" w:rsidR="0088159D" w:rsidRPr="008216A9" w:rsidRDefault="00807F13" w:rsidP="00E441AF">
            <w:pPr>
              <w:rPr>
                <w:color w:val="000000" w:themeColor="text1"/>
                <w:sz w:val="21"/>
                <w:szCs w:val="21"/>
              </w:rPr>
            </w:pPr>
            <w:r>
              <w:rPr>
                <w:color w:val="000000" w:themeColor="text1"/>
                <w:sz w:val="21"/>
              </w:rPr>
              <w:t>EXPLOITATION</w:t>
            </w:r>
          </w:p>
        </w:tc>
        <w:tc>
          <w:tcPr>
            <w:tcW w:w="2509" w:type="dxa"/>
            <w:tcBorders>
              <w:left w:val="single" w:sz="18" w:space="0" w:color="CED9D6"/>
            </w:tcBorders>
          </w:tcPr>
          <w:p w14:paraId="78A1221E" w14:textId="6E5E0CEB" w:rsidR="0088159D" w:rsidRPr="00BE38F9" w:rsidRDefault="00030AA4" w:rsidP="00BE38F9">
            <w:pPr>
              <w:spacing w:line="228" w:lineRule="auto"/>
              <w:rPr>
                <w:color w:val="000000" w:themeColor="text1"/>
                <w:sz w:val="14"/>
                <w:szCs w:val="14"/>
              </w:rPr>
            </w:pPr>
            <w:r w:rsidRPr="00BE38F9">
              <w:rPr>
                <w:color w:val="000000" w:themeColor="text1"/>
                <w:sz w:val="14"/>
                <w:szCs w:val="14"/>
                <w:u w:val="single"/>
              </w:rPr>
              <w:t>Développement des infrastructures </w:t>
            </w:r>
            <w:r w:rsidRPr="00BE38F9">
              <w:rPr>
                <w:color w:val="000000" w:themeColor="text1"/>
                <w:sz w:val="14"/>
                <w:szCs w:val="14"/>
              </w:rPr>
              <w:t>: déployer 200 nouvelles bornes de recharge dans des lieux stratégiques clés. Mettre en œuvre des systèmes de maintenance et de contrôle de pointe pour assurer une fiabilité élevée.</w:t>
            </w:r>
          </w:p>
        </w:tc>
        <w:tc>
          <w:tcPr>
            <w:tcW w:w="2512" w:type="dxa"/>
            <w:shd w:val="clear" w:color="auto" w:fill="FAFAFA"/>
          </w:tcPr>
          <w:p w14:paraId="58A6D3A1" w14:textId="49C36EB8" w:rsidR="0088159D" w:rsidRPr="00BE38F9" w:rsidRDefault="00030AA4" w:rsidP="00BE38F9">
            <w:pPr>
              <w:spacing w:line="228" w:lineRule="auto"/>
              <w:rPr>
                <w:color w:val="000000" w:themeColor="text1"/>
                <w:sz w:val="14"/>
                <w:szCs w:val="14"/>
              </w:rPr>
            </w:pPr>
            <w:r w:rsidRPr="00BE38F9">
              <w:rPr>
                <w:color w:val="000000" w:themeColor="text1"/>
                <w:sz w:val="14"/>
                <w:szCs w:val="14"/>
                <w:u w:val="single"/>
              </w:rPr>
              <w:t>Efficacité et fiabilité</w:t>
            </w:r>
            <w:r w:rsidRPr="00BE38F9">
              <w:rPr>
                <w:color w:val="000000" w:themeColor="text1"/>
                <w:sz w:val="14"/>
                <w:szCs w:val="14"/>
              </w:rPr>
              <w:t> : présentez les fonctionnalités de l’application mobile pour assurer un meilleur service client et obtenir des commentaires sur son fonctionnement. Réduire les temps d’arrêt des bornes de recharge de 50 % grâce à la maintenance prédictive.</w:t>
            </w:r>
          </w:p>
        </w:tc>
        <w:tc>
          <w:tcPr>
            <w:tcW w:w="2511" w:type="dxa"/>
          </w:tcPr>
          <w:p w14:paraId="1311B5B6" w14:textId="6C065AAD" w:rsidR="0088159D" w:rsidRPr="00BE38F9" w:rsidRDefault="00030AA4" w:rsidP="00BE38F9">
            <w:pPr>
              <w:spacing w:line="228" w:lineRule="auto"/>
              <w:rPr>
                <w:color w:val="000000" w:themeColor="text1"/>
                <w:sz w:val="14"/>
                <w:szCs w:val="14"/>
              </w:rPr>
            </w:pPr>
            <w:r w:rsidRPr="00BE38F9">
              <w:rPr>
                <w:color w:val="000000" w:themeColor="text1"/>
                <w:sz w:val="14"/>
                <w:szCs w:val="14"/>
                <w:u w:val="single"/>
              </w:rPr>
              <w:t>Évolutivité et flexibilité</w:t>
            </w:r>
            <w:r w:rsidRPr="00BE38F9">
              <w:rPr>
                <w:color w:val="000000" w:themeColor="text1"/>
                <w:sz w:val="14"/>
                <w:szCs w:val="14"/>
              </w:rPr>
              <w:t> : développer des conceptions de bornes modulaires pour assurer un déploiement rapide sur de nouveaux marchés. Améliorer les systèmes d’exploitation en vue d’une expansion à l’international.</w:t>
            </w:r>
          </w:p>
        </w:tc>
        <w:tc>
          <w:tcPr>
            <w:tcW w:w="2364" w:type="dxa"/>
            <w:shd w:val="clear" w:color="auto" w:fill="FAFAFA"/>
          </w:tcPr>
          <w:p w14:paraId="2974C203" w14:textId="7F050600" w:rsidR="0088159D" w:rsidRPr="00BE38F9" w:rsidRDefault="00030AA4" w:rsidP="00BE38F9">
            <w:pPr>
              <w:spacing w:line="228" w:lineRule="auto"/>
              <w:rPr>
                <w:color w:val="000000" w:themeColor="text1"/>
                <w:sz w:val="14"/>
                <w:szCs w:val="14"/>
              </w:rPr>
            </w:pPr>
            <w:r w:rsidRPr="00BE38F9">
              <w:rPr>
                <w:color w:val="000000" w:themeColor="text1"/>
                <w:sz w:val="14"/>
                <w:szCs w:val="14"/>
                <w:u w:val="single"/>
              </w:rPr>
              <w:t>Intégration et nouvelles technologies</w:t>
            </w:r>
            <w:r w:rsidRPr="00BE38F9">
              <w:rPr>
                <w:color w:val="000000" w:themeColor="text1"/>
                <w:sz w:val="14"/>
                <w:szCs w:val="14"/>
              </w:rPr>
              <w:t> : intégrer des solutions à énergie solaire et de stockage d’énergie aux bornes de recharge. Tester la technologie de recharge sans fil dans certaines zones urbaines.</w:t>
            </w:r>
          </w:p>
        </w:tc>
        <w:tc>
          <w:tcPr>
            <w:tcW w:w="2654" w:type="dxa"/>
          </w:tcPr>
          <w:p w14:paraId="7F43BE15" w14:textId="381B4F9F" w:rsidR="0088159D" w:rsidRPr="00BE38F9" w:rsidRDefault="00030AA4" w:rsidP="00BE38F9">
            <w:pPr>
              <w:spacing w:line="228" w:lineRule="auto"/>
              <w:rPr>
                <w:color w:val="000000" w:themeColor="text1"/>
                <w:sz w:val="14"/>
                <w:szCs w:val="14"/>
              </w:rPr>
            </w:pPr>
            <w:r w:rsidRPr="00BE38F9">
              <w:rPr>
                <w:color w:val="000000" w:themeColor="text1"/>
                <w:sz w:val="14"/>
                <w:szCs w:val="14"/>
                <w:u w:val="single"/>
              </w:rPr>
              <w:t>Pérennité de l’exploitation</w:t>
            </w:r>
            <w:r w:rsidRPr="00BE38F9">
              <w:rPr>
                <w:color w:val="000000" w:themeColor="text1"/>
                <w:sz w:val="14"/>
                <w:szCs w:val="14"/>
              </w:rPr>
              <w:t> : atteindre une efficacité opérationnelle totale grâce à des analyses fondées sur l’IA et l’intégration IoT. Veiller à ce que toutes les opérations soient alimentées par une énergie 100 % renouvelable, conformément aux objectifs de durabilité.</w:t>
            </w:r>
          </w:p>
        </w:tc>
      </w:tr>
      <w:tr w:rsidR="00BB24E5" w:rsidRPr="000029E5" w14:paraId="6C68E6AA" w14:textId="77777777" w:rsidTr="00BE38F9">
        <w:trPr>
          <w:trHeight w:val="1240"/>
        </w:trPr>
        <w:tc>
          <w:tcPr>
            <w:tcW w:w="2074" w:type="dxa"/>
            <w:tcBorders>
              <w:right w:val="single" w:sz="18" w:space="0" w:color="CED9D6"/>
            </w:tcBorders>
            <w:shd w:val="clear" w:color="auto" w:fill="FAF9D3"/>
            <w:vAlign w:val="center"/>
          </w:tcPr>
          <w:p w14:paraId="52801AD2" w14:textId="6692367A" w:rsidR="00BB24E5" w:rsidRPr="008216A9" w:rsidRDefault="00BB24E5" w:rsidP="0088159D">
            <w:pPr>
              <w:rPr>
                <w:color w:val="000000" w:themeColor="text1"/>
                <w:sz w:val="21"/>
                <w:szCs w:val="21"/>
              </w:rPr>
            </w:pPr>
            <w:r>
              <w:rPr>
                <w:color w:val="000000" w:themeColor="text1"/>
                <w:sz w:val="21"/>
              </w:rPr>
              <w:t>PARTENARIATS STRATÉGIQUES</w:t>
            </w:r>
          </w:p>
        </w:tc>
        <w:tc>
          <w:tcPr>
            <w:tcW w:w="2509" w:type="dxa"/>
            <w:tcBorders>
              <w:left w:val="single" w:sz="18" w:space="0" w:color="CED9D6"/>
            </w:tcBorders>
          </w:tcPr>
          <w:p w14:paraId="1791BE70" w14:textId="7ECE1D3E" w:rsidR="00BB24E5" w:rsidRPr="00BE38F9" w:rsidRDefault="00BB24E5" w:rsidP="00BE38F9">
            <w:pPr>
              <w:spacing w:line="228" w:lineRule="auto"/>
              <w:rPr>
                <w:color w:val="000000" w:themeColor="text1"/>
                <w:sz w:val="14"/>
                <w:szCs w:val="14"/>
              </w:rPr>
            </w:pPr>
            <w:r w:rsidRPr="00BE38F9">
              <w:rPr>
                <w:color w:val="000000" w:themeColor="text1"/>
                <w:sz w:val="14"/>
                <w:szCs w:val="14"/>
                <w:u w:val="single"/>
              </w:rPr>
              <w:t>Bases et alignement</w:t>
            </w:r>
            <w:r w:rsidRPr="00BE38F9">
              <w:rPr>
                <w:color w:val="000000" w:themeColor="text1"/>
                <w:sz w:val="14"/>
                <w:szCs w:val="14"/>
              </w:rPr>
              <w:t> : établir des partenariats avec les constructeurs de véhicules électriques et les entreprises locales afin d’améliorer l’accessibilité des bornes de recharge.</w:t>
            </w:r>
          </w:p>
        </w:tc>
        <w:tc>
          <w:tcPr>
            <w:tcW w:w="10041" w:type="dxa"/>
            <w:gridSpan w:val="4"/>
            <w:shd w:val="clear" w:color="auto" w:fill="FAFAFA"/>
          </w:tcPr>
          <w:p w14:paraId="391EC499" w14:textId="1F057DB2" w:rsidR="00BB24E5" w:rsidRPr="00BE38F9" w:rsidRDefault="00BB24E5" w:rsidP="00BE38F9">
            <w:pPr>
              <w:spacing w:line="228" w:lineRule="auto"/>
              <w:rPr>
                <w:color w:val="000000" w:themeColor="text1"/>
                <w:sz w:val="14"/>
                <w:szCs w:val="14"/>
              </w:rPr>
            </w:pPr>
            <w:r w:rsidRPr="00BE38F9">
              <w:rPr>
                <w:color w:val="000000" w:themeColor="text1"/>
                <w:sz w:val="14"/>
                <w:szCs w:val="14"/>
                <w:u w:val="single"/>
              </w:rPr>
              <w:t>Expansion et synergie</w:t>
            </w:r>
            <w:r w:rsidRPr="00BE38F9">
              <w:rPr>
                <w:color w:val="000000" w:themeColor="text1"/>
                <w:sz w:val="14"/>
                <w:szCs w:val="14"/>
              </w:rPr>
              <w:t> : effectuer une révision annuelle de l’efficacité du partenariat et de l’alignement stratégique, afin de s’étendre à de nouveaux marchés et de nouvelles technologies et d’améliorer l’offre de services et la présence sur le marché.</w:t>
            </w:r>
          </w:p>
        </w:tc>
      </w:tr>
      <w:tr w:rsidR="00BB24E5" w:rsidRPr="000029E5" w14:paraId="563DC248" w14:textId="77777777" w:rsidTr="00BE38F9">
        <w:trPr>
          <w:trHeight w:val="970"/>
        </w:trPr>
        <w:tc>
          <w:tcPr>
            <w:tcW w:w="2074" w:type="dxa"/>
            <w:tcBorders>
              <w:right w:val="single" w:sz="18" w:space="0" w:color="CED9D6"/>
            </w:tcBorders>
            <w:shd w:val="clear" w:color="auto" w:fill="FAF9D3"/>
            <w:vAlign w:val="center"/>
          </w:tcPr>
          <w:p w14:paraId="65EB8BB4" w14:textId="763DD6EA" w:rsidR="00BB24E5" w:rsidRDefault="00EA2E23" w:rsidP="0088159D">
            <w:pPr>
              <w:rPr>
                <w:color w:val="000000" w:themeColor="text1"/>
                <w:sz w:val="21"/>
                <w:szCs w:val="21"/>
              </w:rPr>
            </w:pPr>
            <w:r>
              <w:rPr>
                <w:color w:val="000000" w:themeColor="text1"/>
                <w:sz w:val="21"/>
              </w:rPr>
              <w:t>DÉVELOPPEMENT TECHNOLOGIQUE</w:t>
            </w:r>
          </w:p>
        </w:tc>
        <w:tc>
          <w:tcPr>
            <w:tcW w:w="2509" w:type="dxa"/>
            <w:tcBorders>
              <w:left w:val="single" w:sz="18" w:space="0" w:color="CED9D6"/>
            </w:tcBorders>
          </w:tcPr>
          <w:p w14:paraId="185B5A66" w14:textId="0090A9B4" w:rsidR="00BB24E5" w:rsidRPr="00BE38F9" w:rsidRDefault="00EA2E23" w:rsidP="00BE38F9">
            <w:pPr>
              <w:spacing w:line="228" w:lineRule="auto"/>
              <w:rPr>
                <w:color w:val="000000" w:themeColor="text1"/>
                <w:sz w:val="14"/>
                <w:szCs w:val="14"/>
                <w:u w:val="single"/>
              </w:rPr>
            </w:pPr>
            <w:r w:rsidRPr="00BE38F9">
              <w:rPr>
                <w:color w:val="000000" w:themeColor="text1"/>
                <w:sz w:val="14"/>
                <w:szCs w:val="14"/>
                <w:u w:val="single"/>
              </w:rPr>
              <w:t>Recherche et développement</w:t>
            </w:r>
            <w:r w:rsidR="0016729C" w:rsidRPr="00BE38F9">
              <w:rPr>
                <w:color w:val="000000" w:themeColor="text1"/>
                <w:sz w:val="14"/>
                <w:szCs w:val="14"/>
              </w:rPr>
              <w:t> :</w:t>
            </w:r>
            <w:r w:rsidRPr="00BE38F9">
              <w:rPr>
                <w:color w:val="000000" w:themeColor="text1"/>
                <w:sz w:val="14"/>
                <w:szCs w:val="14"/>
              </w:rPr>
              <w:t xml:space="preserve"> investir dans la R&amp;D pour des technologies de recharge plus rapides et une meilleure conception de l’interface utilisateur.</w:t>
            </w:r>
          </w:p>
        </w:tc>
        <w:tc>
          <w:tcPr>
            <w:tcW w:w="10041" w:type="dxa"/>
            <w:gridSpan w:val="4"/>
            <w:shd w:val="clear" w:color="auto" w:fill="FAFAFA"/>
          </w:tcPr>
          <w:p w14:paraId="03A7C503" w14:textId="33DD87C7" w:rsidR="00BB24E5" w:rsidRPr="00BE38F9" w:rsidRDefault="00EA2E23" w:rsidP="00BE38F9">
            <w:pPr>
              <w:spacing w:line="228" w:lineRule="auto"/>
              <w:rPr>
                <w:color w:val="000000" w:themeColor="text1"/>
                <w:sz w:val="14"/>
                <w:szCs w:val="14"/>
                <w:u w:val="single"/>
              </w:rPr>
            </w:pPr>
            <w:r w:rsidRPr="00BE38F9">
              <w:rPr>
                <w:color w:val="000000" w:themeColor="text1"/>
                <w:sz w:val="14"/>
                <w:szCs w:val="14"/>
                <w:u w:val="single"/>
              </w:rPr>
              <w:t>Mise en œuvre et innovation</w:t>
            </w:r>
            <w:r w:rsidRPr="00BE38F9">
              <w:rPr>
                <w:color w:val="000000" w:themeColor="text1"/>
                <w:sz w:val="14"/>
                <w:szCs w:val="14"/>
              </w:rPr>
              <w:t> : déployer de nouvelles technologies et fonctionnalités, en mettant l’accent sur l’aspect pratique pour le client et la durabilité environnementale, en veillant à ce que Positive Charge reste à la pointe de la technologie dans le domaine de la recharge des véhicules électriques.</w:t>
            </w:r>
          </w:p>
        </w:tc>
      </w:tr>
    </w:tbl>
    <w:p w14:paraId="5BD356C0" w14:textId="77777777" w:rsidR="0088159D" w:rsidRPr="0088159D" w:rsidRDefault="0088159D" w:rsidP="0088159D">
      <w:pPr>
        <w:spacing w:line="240" w:lineRule="auto"/>
        <w:rPr>
          <w:color w:val="595959" w:themeColor="text1" w:themeTint="A6"/>
          <w:sz w:val="20"/>
          <w:szCs w:val="20"/>
        </w:rPr>
      </w:pPr>
    </w:p>
    <w:p w14:paraId="38A24177" w14:textId="54B26588" w:rsidR="003447E4" w:rsidRPr="009206DB" w:rsidRDefault="00A47B7F" w:rsidP="00A47B7F">
      <w:pPr>
        <w:shd w:val="clear" w:color="auto" w:fill="FFFFFF" w:themeFill="background1"/>
        <w:spacing w:line="240" w:lineRule="auto"/>
        <w:rPr>
          <w:color w:val="595959" w:themeColor="text1" w:themeTint="A6"/>
          <w:sz w:val="20"/>
          <w:szCs w:val="20"/>
        </w:rPr>
        <w:sectPr w:rsidR="003447E4" w:rsidRPr="009206DB" w:rsidSect="008216A9">
          <w:pgSz w:w="15840" w:h="12240" w:orient="landscape"/>
          <w:pgMar w:top="567" w:right="486" w:bottom="585" w:left="720" w:header="0" w:footer="0" w:gutter="0"/>
          <w:pgNumType w:start="1"/>
          <w:cols w:space="720"/>
          <w:docGrid w:linePitch="299"/>
        </w:sectPr>
      </w:pPr>
      <w:r>
        <w:rPr>
          <w:color w:val="595959" w:themeColor="text1" w:themeTint="A6"/>
          <w:sz w:val="20"/>
        </w:rPr>
        <w:t>Ce plan d’affaires stratégique sur 5 ans place « Positive Charge » sur la voie du leadership industriel, de l’innovation et de la durabilité, abordant les sujets de la croissance financière, du positionnement sur le marché, de l’engagement communautaire, de l’excellence opérationnelle, des partenariats stratégiques et de l’innovation technologique.</w:t>
      </w:r>
    </w:p>
    <w:p w14:paraId="1D41730C" w14:textId="77777777" w:rsidR="005C01C6" w:rsidRPr="00360227" w:rsidRDefault="005C01C6" w:rsidP="00EB075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E441AF">
        <w:trPr>
          <w:trHeight w:val="3714"/>
        </w:trPr>
        <w:tc>
          <w:tcPr>
            <w:tcW w:w="9990" w:type="dxa"/>
          </w:tcPr>
          <w:p w14:paraId="72E7451C" w14:textId="77777777" w:rsidR="005C01C6" w:rsidRPr="00360227" w:rsidRDefault="005C01C6" w:rsidP="00EB075A">
            <w:pPr>
              <w:rPr>
                <w:b/>
              </w:rPr>
            </w:pPr>
          </w:p>
          <w:p w14:paraId="2D533464" w14:textId="77777777" w:rsidR="005C01C6" w:rsidRPr="00360227" w:rsidRDefault="005C01C6" w:rsidP="00EB075A">
            <w:pPr>
              <w:jc w:val="center"/>
              <w:rPr>
                <w:b/>
              </w:rPr>
            </w:pPr>
            <w:r>
              <w:rPr>
                <w:b/>
              </w:rPr>
              <w:t>EXCLUSION DE RESPONSABILITÉ</w:t>
            </w:r>
          </w:p>
          <w:p w14:paraId="6C0DA57C" w14:textId="77777777" w:rsidR="005C01C6" w:rsidRPr="00360227" w:rsidRDefault="005C01C6" w:rsidP="00EB075A"/>
          <w:p w14:paraId="4A8BCDA9" w14:textId="77777777" w:rsidR="005C01C6" w:rsidRPr="00360227" w:rsidRDefault="005C01C6" w:rsidP="00EB075A">
            <w:pPr>
              <w:spacing w:line="276" w:lineRule="auto"/>
            </w:pPr>
            <w:r>
              <w:t xml:space="preserve">Tous les articles, modèles ou informations fournis par </w:t>
            </w:r>
            <w:proofErr w:type="spellStart"/>
            <w:r>
              <w:t>Smartsheet</w:t>
            </w:r>
            <w:proofErr w:type="spellEnd"/>
            <w:r>
              <w:t xml:space="preserve">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p w14:paraId="629278FC" w14:textId="03861978" w:rsidR="005C01C6" w:rsidRPr="00360227" w:rsidRDefault="005C01C6" w:rsidP="00EB075A">
            <w:pPr>
              <w:spacing w:line="276" w:lineRule="auto"/>
            </w:pPr>
          </w:p>
        </w:tc>
      </w:tr>
    </w:tbl>
    <w:p w14:paraId="1313BE39" w14:textId="77777777" w:rsidR="005C01C6" w:rsidRPr="00360227" w:rsidRDefault="005C01C6" w:rsidP="00EB075A">
      <w:pPr>
        <w:spacing w:line="240" w:lineRule="auto"/>
        <w:rPr>
          <w:szCs w:val="20"/>
        </w:rPr>
      </w:pPr>
    </w:p>
    <w:p w14:paraId="00000050" w14:textId="77777777" w:rsidR="00C62A39" w:rsidRPr="00360227" w:rsidRDefault="00C62A39" w:rsidP="00EB075A">
      <w:pPr>
        <w:spacing w:after="120"/>
      </w:pPr>
    </w:p>
    <w:sectPr w:rsidR="00C62A39" w:rsidRPr="00360227"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0D21D" w14:textId="77777777" w:rsidR="00600176" w:rsidRDefault="00600176" w:rsidP="00E441AF">
      <w:pPr>
        <w:spacing w:line="240" w:lineRule="auto"/>
      </w:pPr>
      <w:r>
        <w:separator/>
      </w:r>
    </w:p>
  </w:endnote>
  <w:endnote w:type="continuationSeparator" w:id="0">
    <w:p w14:paraId="0252AD4C" w14:textId="77777777" w:rsidR="00600176" w:rsidRDefault="00600176" w:rsidP="00E44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ADAC6" w14:textId="77777777" w:rsidR="00600176" w:rsidRDefault="00600176" w:rsidP="00E441AF">
      <w:pPr>
        <w:spacing w:line="240" w:lineRule="auto"/>
      </w:pPr>
      <w:r>
        <w:separator/>
      </w:r>
    </w:p>
  </w:footnote>
  <w:footnote w:type="continuationSeparator" w:id="0">
    <w:p w14:paraId="426C6A9E" w14:textId="77777777" w:rsidR="00600176" w:rsidRDefault="00600176" w:rsidP="00E441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154E8"/>
    <w:rsid w:val="00030AA4"/>
    <w:rsid w:val="0005173C"/>
    <w:rsid w:val="00053358"/>
    <w:rsid w:val="00055227"/>
    <w:rsid w:val="00066E19"/>
    <w:rsid w:val="000E3EE3"/>
    <w:rsid w:val="00133A8B"/>
    <w:rsid w:val="00146DB2"/>
    <w:rsid w:val="0016729C"/>
    <w:rsid w:val="001A376C"/>
    <w:rsid w:val="001A70DD"/>
    <w:rsid w:val="001B4D84"/>
    <w:rsid w:val="001E16F8"/>
    <w:rsid w:val="002A17D9"/>
    <w:rsid w:val="002B75CA"/>
    <w:rsid w:val="002C0411"/>
    <w:rsid w:val="003342A9"/>
    <w:rsid w:val="00340487"/>
    <w:rsid w:val="003447E4"/>
    <w:rsid w:val="00360227"/>
    <w:rsid w:val="003A273E"/>
    <w:rsid w:val="003C4D8C"/>
    <w:rsid w:val="003D7EB7"/>
    <w:rsid w:val="003E0901"/>
    <w:rsid w:val="00432C00"/>
    <w:rsid w:val="00482C57"/>
    <w:rsid w:val="004B0414"/>
    <w:rsid w:val="004D1D7C"/>
    <w:rsid w:val="004D69CA"/>
    <w:rsid w:val="005069D7"/>
    <w:rsid w:val="00520499"/>
    <w:rsid w:val="00533A0B"/>
    <w:rsid w:val="00581D0B"/>
    <w:rsid w:val="005B25F0"/>
    <w:rsid w:val="005C01C6"/>
    <w:rsid w:val="005D2711"/>
    <w:rsid w:val="005F067C"/>
    <w:rsid w:val="00600176"/>
    <w:rsid w:val="00603E38"/>
    <w:rsid w:val="00674F2B"/>
    <w:rsid w:val="006C1E61"/>
    <w:rsid w:val="006E2CEC"/>
    <w:rsid w:val="0073783D"/>
    <w:rsid w:val="00807301"/>
    <w:rsid w:val="00807F13"/>
    <w:rsid w:val="008216A9"/>
    <w:rsid w:val="00851949"/>
    <w:rsid w:val="00854633"/>
    <w:rsid w:val="00877A23"/>
    <w:rsid w:val="0088058C"/>
    <w:rsid w:val="0088159D"/>
    <w:rsid w:val="008A34E6"/>
    <w:rsid w:val="008C420D"/>
    <w:rsid w:val="008D1479"/>
    <w:rsid w:val="008F58FD"/>
    <w:rsid w:val="00901FA1"/>
    <w:rsid w:val="009064BB"/>
    <w:rsid w:val="009206DB"/>
    <w:rsid w:val="00954C5C"/>
    <w:rsid w:val="009B2E64"/>
    <w:rsid w:val="009C7289"/>
    <w:rsid w:val="00A245D0"/>
    <w:rsid w:val="00A37433"/>
    <w:rsid w:val="00A43A23"/>
    <w:rsid w:val="00A47B7F"/>
    <w:rsid w:val="00A50CA7"/>
    <w:rsid w:val="00A85C00"/>
    <w:rsid w:val="00AA0FBD"/>
    <w:rsid w:val="00AE47E3"/>
    <w:rsid w:val="00AE5812"/>
    <w:rsid w:val="00B12F76"/>
    <w:rsid w:val="00B26ACB"/>
    <w:rsid w:val="00B61AA5"/>
    <w:rsid w:val="00B61D3C"/>
    <w:rsid w:val="00B74DDA"/>
    <w:rsid w:val="00BB24E5"/>
    <w:rsid w:val="00BB62A7"/>
    <w:rsid w:val="00BE38F9"/>
    <w:rsid w:val="00C052B9"/>
    <w:rsid w:val="00C62A39"/>
    <w:rsid w:val="00CF5703"/>
    <w:rsid w:val="00D528A1"/>
    <w:rsid w:val="00D95DB4"/>
    <w:rsid w:val="00DC5005"/>
    <w:rsid w:val="00E441AF"/>
    <w:rsid w:val="00E470AA"/>
    <w:rsid w:val="00EA2E23"/>
    <w:rsid w:val="00EB075A"/>
    <w:rsid w:val="00F1532F"/>
    <w:rsid w:val="00F50F93"/>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宋体" w:hAnsi="Arial" w:cs="Arial"/>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F8"/>
    <w:rPr>
      <w:rFonts w:ascii="Century Gothic" w:hAnsi="Century Gothic"/>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E441AF"/>
    <w:pPr>
      <w:tabs>
        <w:tab w:val="center" w:pos="4320"/>
        <w:tab w:val="right" w:pos="8640"/>
      </w:tabs>
      <w:spacing w:line="240" w:lineRule="auto"/>
    </w:pPr>
  </w:style>
  <w:style w:type="character" w:customStyle="1" w:styleId="HeaderChar">
    <w:name w:val="Header Char"/>
    <w:basedOn w:val="DefaultParagraphFont"/>
    <w:link w:val="Header"/>
    <w:uiPriority w:val="99"/>
    <w:rsid w:val="00E441AF"/>
    <w:rPr>
      <w:rFonts w:ascii="Century Gothic" w:hAnsi="Century Gothic"/>
    </w:rPr>
  </w:style>
  <w:style w:type="paragraph" w:styleId="Footer">
    <w:name w:val="footer"/>
    <w:basedOn w:val="Normal"/>
    <w:link w:val="FooterChar"/>
    <w:uiPriority w:val="99"/>
    <w:unhideWhenUsed/>
    <w:rsid w:val="00E441AF"/>
    <w:pPr>
      <w:tabs>
        <w:tab w:val="center" w:pos="4320"/>
        <w:tab w:val="right" w:pos="8640"/>
      </w:tabs>
      <w:spacing w:line="240" w:lineRule="auto"/>
    </w:pPr>
  </w:style>
  <w:style w:type="character" w:customStyle="1" w:styleId="FooterChar">
    <w:name w:val="Footer Char"/>
    <w:basedOn w:val="DefaultParagraphFont"/>
    <w:link w:val="Footer"/>
    <w:uiPriority w:val="99"/>
    <w:rsid w:val="00E441AF"/>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1009602432">
      <w:bodyDiv w:val="1"/>
      <w:marLeft w:val="0"/>
      <w:marRight w:val="0"/>
      <w:marTop w:val="0"/>
      <w:marBottom w:val="0"/>
      <w:divBdr>
        <w:top w:val="none" w:sz="0" w:space="0" w:color="auto"/>
        <w:left w:val="none" w:sz="0" w:space="0" w:color="auto"/>
        <w:bottom w:val="none" w:sz="0" w:space="0" w:color="auto"/>
        <w:right w:val="none" w:sz="0" w:space="0" w:color="auto"/>
      </w:divBdr>
    </w:div>
    <w:div w:id="1156726281">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434546518">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81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1272</Words>
  <Characters>7355</Characters>
  <Application>Microsoft Office Word</Application>
  <DocSecurity>0</DocSecurity>
  <Lines>735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min qu</cp:lastModifiedBy>
  <cp:revision>32</cp:revision>
  <cp:lastPrinted>2024-11-13T03:25:00Z</cp:lastPrinted>
  <dcterms:created xsi:type="dcterms:W3CDTF">2024-03-19T22:16:00Z</dcterms:created>
  <dcterms:modified xsi:type="dcterms:W3CDTF">2024-11-24T09:30:00Z</dcterms:modified>
</cp:coreProperties>
</file>