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DDB2" w14:textId="720D69F4" w:rsidR="00AB771A" w:rsidRDefault="00AB771A" w:rsidP="00AC5287">
      <w:pPr>
        <w:pStyle w:val="Header"/>
        <w:rPr>
          <w:rFonts w:ascii="Century Gothic" w:hAnsi="Century Gothic" w:cs="Arial"/>
          <w:b/>
          <w:color w:val="595959" w:themeColor="text1" w:themeTint="A6"/>
          <w:sz w:val="44"/>
          <w:szCs w:val="44"/>
        </w:rPr>
      </w:pPr>
      <w:r w:rsidRPr="00AB771A">
        <w:rPr>
          <w:rFonts w:ascii="Century Gothic" w:hAnsi="Century Gothic"/>
          <w:b/>
          <w:noProof/>
          <w:color w:val="595959" w:themeColor="text1" w:themeTint="A6"/>
          <w:sz w:val="44"/>
          <w:szCs w:val="44"/>
        </w:rPr>
        <w:drawing>
          <wp:anchor distT="0" distB="0" distL="114300" distR="114300" simplePos="0" relativeHeight="251658240" behindDoc="0" locked="0" layoutInCell="1" allowOverlap="1" wp14:anchorId="4A368DA2" wp14:editId="2ABCAB20">
            <wp:simplePos x="0" y="0"/>
            <wp:positionH relativeFrom="margin">
              <wp:align>right</wp:align>
            </wp:positionH>
            <wp:positionV relativeFrom="paragraph">
              <wp:posOffset>39370</wp:posOffset>
            </wp:positionV>
            <wp:extent cx="2718000" cy="540000"/>
            <wp:effectExtent l="0" t="0" r="635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EXEMPLE DE MODÈLE DE PLAN </w:t>
      </w:r>
      <w:r w:rsidR="009E3BFC">
        <w:rPr>
          <w:rFonts w:ascii="Century Gothic" w:eastAsia="等线" w:hAnsi="Century Gothic"/>
          <w:b/>
          <w:color w:val="595959" w:themeColor="text1" w:themeTint="A6"/>
          <w:sz w:val="44"/>
          <w:lang w:eastAsia="zh-CN"/>
        </w:rPr>
        <w:br/>
      </w:r>
      <w:r>
        <w:rPr>
          <w:rFonts w:ascii="Century Gothic" w:hAnsi="Century Gothic"/>
          <w:b/>
          <w:color w:val="595959" w:themeColor="text1" w:themeTint="A6"/>
          <w:sz w:val="44"/>
        </w:rPr>
        <w:t xml:space="preserve">STRATÉGIQUE INFORMATIQUE </w:t>
      </w:r>
      <w:r w:rsidR="00B7694B">
        <w:rPr>
          <w:rFonts w:ascii="Century Gothic" w:hAnsi="Century Gothic"/>
          <w:b/>
          <w:color w:val="595959" w:themeColor="text1" w:themeTint="A6"/>
          <w:sz w:val="44"/>
          <w:szCs w:val="44"/>
        </w:rPr>
        <w:br/>
      </w:r>
      <w:r>
        <w:rPr>
          <w:rFonts w:ascii="Century Gothic" w:hAnsi="Century Gothic"/>
          <w:b/>
          <w:color w:val="595959" w:themeColor="text1" w:themeTint="A6"/>
          <w:sz w:val="44"/>
        </w:rPr>
        <w:t>pour Microsoft Word</w:t>
      </w:r>
    </w:p>
    <w:p w14:paraId="616AC4A3" w14:textId="1640EC25" w:rsidR="00AB771A" w:rsidRDefault="00AB771A" w:rsidP="00AC5287">
      <w:pPr>
        <w:pStyle w:val="Header"/>
        <w:rPr>
          <w:rFonts w:ascii="Century Gothic" w:eastAsia="等线" w:hAnsi="Century Gothic" w:cs="Arial"/>
          <w:b/>
          <w:color w:val="595959" w:themeColor="text1" w:themeTint="A6"/>
          <w:sz w:val="16"/>
          <w:szCs w:val="16"/>
          <w:lang w:eastAsia="zh-CN"/>
        </w:rPr>
      </w:pPr>
    </w:p>
    <w:p w14:paraId="74B497D9" w14:textId="77777777" w:rsidR="008D1A12" w:rsidRPr="008D1A12" w:rsidRDefault="008D1A12" w:rsidP="00AC5287">
      <w:pPr>
        <w:pStyle w:val="Header"/>
        <w:rPr>
          <w:rFonts w:ascii="Century Gothic" w:eastAsia="等线" w:hAnsi="Century Gothic" w:cs="Arial"/>
          <w:b/>
          <w:color w:val="595959" w:themeColor="text1" w:themeTint="A6"/>
          <w:sz w:val="16"/>
          <w:szCs w:val="16"/>
          <w:lang w:eastAsia="zh-CN"/>
        </w:rPr>
      </w:pPr>
    </w:p>
    <w:p w14:paraId="591A1F97" w14:textId="73B8EFE7" w:rsidR="00AB771A" w:rsidRDefault="00AB771A" w:rsidP="00AC5287">
      <w:pPr>
        <w:pStyle w:val="Header"/>
        <w:rPr>
          <w:rFonts w:ascii="Century Gothic" w:eastAsia="等线" w:hAnsi="Century Gothic" w:cs="Arial"/>
          <w:b/>
          <w:color w:val="595959" w:themeColor="text1" w:themeTint="A6"/>
          <w:lang w:eastAsia="zh-CN"/>
        </w:rPr>
      </w:pPr>
    </w:p>
    <w:p w14:paraId="2184218C" w14:textId="77777777" w:rsidR="008D1A12" w:rsidRPr="008D1A12" w:rsidRDefault="008D1A12" w:rsidP="00AC5287">
      <w:pPr>
        <w:pStyle w:val="Header"/>
        <w:rPr>
          <w:rFonts w:ascii="Century Gothic" w:eastAsia="等线" w:hAnsi="Century Gothic" w:cs="Arial"/>
          <w:b/>
          <w:color w:val="595959" w:themeColor="text1" w:themeTint="A6"/>
          <w:lang w:eastAsia="zh-CN"/>
        </w:rPr>
      </w:pPr>
    </w:p>
    <w:p w14:paraId="3F4B0064" w14:textId="14DFEDEB" w:rsidR="00AB771A" w:rsidRDefault="009E3BFC">
      <w:pPr>
        <w:rPr>
          <w:rFonts w:ascii="Century Gothic" w:hAnsi="Century Gothic" w:cs="Arial"/>
          <w:b/>
          <w:color w:val="A6A6A6" w:themeColor="background1" w:themeShade="A6"/>
          <w:sz w:val="44"/>
          <w:szCs w:val="44"/>
        </w:rPr>
      </w:pPr>
      <w:r>
        <w:rPr>
          <w:rFonts w:ascii="Century Gothic" w:hAnsi="Century Gothic" w:cs="Arial"/>
          <w:b/>
          <w:noProof/>
          <w:color w:val="A6A6A6" w:themeColor="background1" w:themeShade="A6"/>
          <w:sz w:val="44"/>
          <w:szCs w:val="44"/>
        </w:rPr>
        <w:drawing>
          <wp:inline distT="0" distB="0" distL="0" distR="0" wp14:anchorId="6DB712E8" wp14:editId="2B7B6EDA">
            <wp:extent cx="6858000" cy="3761740"/>
            <wp:effectExtent l="0" t="0" r="0" b="0"/>
            <wp:docPr id="876248828" name="Picture 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48828" name="Picture 3" descr="A yellow sign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58000" cy="3761740"/>
                    </a:xfrm>
                    <a:prstGeom prst="rect">
                      <a:avLst/>
                    </a:prstGeom>
                  </pic:spPr>
                </pic:pic>
              </a:graphicData>
            </a:graphic>
          </wp:inline>
        </w:drawing>
      </w:r>
    </w:p>
    <w:p w14:paraId="16E4FDE4" w14:textId="51A2329C" w:rsidR="00AB771A" w:rsidRDefault="000403E2">
      <w:pPr>
        <w:rPr>
          <w:rFonts w:ascii="Century Gothic" w:hAnsi="Century Gothic" w:cs="Arial"/>
          <w:b/>
          <w:color w:val="A6A6A6" w:themeColor="background1" w:themeShade="A6"/>
          <w:sz w:val="44"/>
          <w:szCs w:val="44"/>
        </w:rPr>
      </w:pPr>
      <w:r>
        <w:rPr>
          <w:rFonts w:ascii="Century Gothic" w:hAnsi="Century Gothic"/>
          <w:b/>
          <w:noProof/>
          <w:color w:val="A6A6A6" w:themeColor="background1" w:themeShade="A6"/>
          <w:sz w:val="44"/>
          <w:szCs w:val="44"/>
        </w:rPr>
        <mc:AlternateContent>
          <mc:Choice Requires="wps">
            <w:drawing>
              <wp:anchor distT="0" distB="0" distL="114300" distR="114300" simplePos="0" relativeHeight="251657216" behindDoc="0" locked="0" layoutInCell="1" allowOverlap="1" wp14:anchorId="5CD6587B" wp14:editId="1FFEE863">
                <wp:simplePos x="0" y="0"/>
                <wp:positionH relativeFrom="margin">
                  <wp:posOffset>0</wp:posOffset>
                </wp:positionH>
                <wp:positionV relativeFrom="paragraph">
                  <wp:posOffset>202120</wp:posOffset>
                </wp:positionV>
                <wp:extent cx="6913245" cy="2305050"/>
                <wp:effectExtent l="0" t="0" r="20955" b="19050"/>
                <wp:wrapNone/>
                <wp:docPr id="1912316499" name="Text Box 1"/>
                <wp:cNvGraphicFramePr/>
                <a:graphic xmlns:a="http://schemas.openxmlformats.org/drawingml/2006/main">
                  <a:graphicData uri="http://schemas.microsoft.com/office/word/2010/wordprocessingShape">
                    <wps:wsp>
                      <wps:cNvSpPr txBox="1"/>
                      <wps:spPr>
                        <a:xfrm>
                          <a:off x="0" y="0"/>
                          <a:ext cx="6913245" cy="2305050"/>
                        </a:xfrm>
                        <a:prstGeom prst="rect">
                          <a:avLst/>
                        </a:prstGeom>
                        <a:solidFill>
                          <a:schemeClr val="lt1"/>
                        </a:solidFill>
                        <a:ln w="6350">
                          <a:solidFill>
                            <a:srgbClr val="E2E23A"/>
                          </a:solidFill>
                        </a:ln>
                      </wps:spPr>
                      <wps:txbx>
                        <w:txbxContent>
                          <w:p w14:paraId="6C57CDDD" w14:textId="6472351D" w:rsidR="00D601A2" w:rsidRPr="00D601A2" w:rsidRDefault="00B7694B" w:rsidP="009215F4">
                            <w:pPr>
                              <w:jc w:val="both"/>
                              <w:rPr>
                                <w:rFonts w:ascii="Century Gothic" w:hAnsi="Century Gothic"/>
                                <w:color w:val="595959" w:themeColor="text1" w:themeTint="A6"/>
                              </w:rPr>
                            </w:pPr>
                            <w:r>
                              <w:rPr>
                                <w:rFonts w:ascii="Century Gothic" w:hAnsi="Century Gothic"/>
                                <w:color w:val="595959" w:themeColor="text1" w:themeTint="A6"/>
                              </w:rPr>
                              <w:t>Ce modèle sert de document de base pour s’assurer que les initiatives informatiques de Positive Charge sont stratégiquement alignées et axées sur la valeur ajoutée pour notre organisation. La mise à jour régulière de ce plan vous aidera à naviguer dans le paysage technologique en rapide évolution et à maintenir l’alignement avec les objectifs en évolution de Positive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587B" id="_x0000_t202" coordsize="21600,21600" o:spt="202" path="m,l,21600r21600,l21600,xe">
                <v:stroke joinstyle="miter"/>
                <v:path gradientshapeok="t" o:connecttype="rect"/>
              </v:shapetype>
              <v:shape id="Text Box 1" o:spid="_x0000_s1026" type="#_x0000_t202" style="position:absolute;margin-left:0;margin-top:15.9pt;width:544.35pt;height:1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" fillcolor="white [3201]" strokecolor="#e2e23a" strokeweight=".5pt">
                <v:textbox>
                  <w:txbxContent>
                    <w:p w14:paraId="6C57CDDD" w14:textId="6472351D" w:rsidR="00D601A2" w:rsidRPr="00D601A2" w:rsidRDefault="00B7694B" w:rsidP="009215F4">
                      <w:pPr>
                        <w:jc w:val="both"/>
                        <w:rPr>
                          <w:rFonts w:ascii="Century Gothic" w:hAnsi="Century Gothic"/>
                          <w:color w:val="595959" w:themeColor="text1" w:themeTint="A6"/>
                        </w:rPr>
                      </w:pPr>
                      <w:r>
                        <w:rPr>
                          <w:rFonts w:ascii="Century Gothic" w:hAnsi="Century Gothic"/>
                          <w:color w:val="595959" w:themeColor="text1" w:themeTint="A6"/>
                        </w:rPr>
                        <w:t>Ce modèle sert de document de base pour s’assurer que les initiatives informatiques de Positive Charge sont stratégiquement alignées et axées sur la valeur ajoutée pour notre organisation. La mise à jour régulière de ce plan vous aidera à naviguer dans le paysage technologique en rapide évolution et à maintenir l’alignement avec les objectifs en évolution de Positive Charge.</w:t>
                      </w:r>
                    </w:p>
                  </w:txbxContent>
                </v:textbox>
                <w10:wrap anchorx="margin"/>
              </v:shape>
            </w:pict>
          </mc:Fallback>
        </mc:AlternateContent>
      </w:r>
      <w:r w:rsidR="00AB771A">
        <w:rPr>
          <w:rFonts w:ascii="Century Gothic" w:hAnsi="Century Gothic"/>
          <w:b/>
          <w:color w:val="A6A6A6" w:themeColor="background1" w:themeShade="A6"/>
          <w:sz w:val="44"/>
          <w:szCs w:val="44"/>
        </w:rPr>
        <w:br w:type="page"/>
      </w:r>
    </w:p>
    <w:p w14:paraId="4E40CA91" w14:textId="1C71B7BB" w:rsidR="00373A2C" w:rsidRPr="002B7AD3" w:rsidRDefault="00373A2C" w:rsidP="00A63DB9">
      <w:pPr>
        <w:rPr>
          <w:rFonts w:ascii="Century Gothic" w:hAnsi="Century Gothic" w:cs="Arial"/>
          <w:b/>
          <w:color w:val="595959" w:themeColor="text1" w:themeTint="A6"/>
          <w:spacing w:val="40"/>
          <w:sz w:val="44"/>
          <w:szCs w:val="44"/>
        </w:rPr>
      </w:pPr>
      <w:r w:rsidRPr="002B7AD3">
        <w:rPr>
          <w:rFonts w:ascii="Century Gothic" w:hAnsi="Century Gothic"/>
          <w:b/>
          <w:color w:val="595959" w:themeColor="text1" w:themeTint="A6"/>
          <w:spacing w:val="40"/>
          <w:sz w:val="44"/>
          <w:szCs w:val="44"/>
        </w:rPr>
        <w:lastRenderedPageBreak/>
        <w:t>RÉCAPITULATIF</w:t>
      </w:r>
    </w:p>
    <w:p w14:paraId="3E470524" w14:textId="62DB312E" w:rsidR="00E027D3" w:rsidRDefault="00B7694B"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Le plan stratégique informatique de Positive Charge vise à moderniser notre infrastructure, à améliorer la sécurité des données et à soutenir l’expansion des réseaux de recharge des VE. En donnant la priorité aux solutions cloud, aux mesures de cybersécurité et à l’analyse des données, nous rationaliserons les opérations et améliorerons la prestation des services.</w:t>
      </w:r>
    </w:p>
    <w:p w14:paraId="5EBC3899" w14:textId="68A9499F" w:rsidR="00630C58" w:rsidRPr="00C7335E" w:rsidRDefault="00630C58"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ÉNONCÉ</w:t>
      </w:r>
      <w:r w:rsidRPr="00C7335E">
        <w:rPr>
          <w:rFonts w:ascii="Century Gothic" w:hAnsi="Century Gothic"/>
          <w:bCs/>
          <w:color w:val="595959" w:themeColor="text1" w:themeTint="A6"/>
          <w:spacing w:val="40"/>
          <w:sz w:val="44"/>
          <w:szCs w:val="44"/>
        </w:rPr>
        <w:t xml:space="preserve"> DE VISION</w:t>
      </w:r>
    </w:p>
    <w:p w14:paraId="3D0EEF48" w14:textId="6058D6E4" w:rsidR="00E027D3" w:rsidRDefault="000A603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Être la force technologique qui propulse Positive Charge à l’avant-garde du secteur de la recharge et de la logistique des véhicules électriques, permettant des opérations continues, sûres et durables.</w:t>
      </w:r>
    </w:p>
    <w:p w14:paraId="16F5C78A" w14:textId="517F99F7" w:rsidR="005D329C" w:rsidRPr="00C7335E" w:rsidRDefault="005D329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ÉNONCÉ</w:t>
      </w:r>
      <w:r w:rsidRPr="00C7335E">
        <w:rPr>
          <w:rFonts w:ascii="Century Gothic" w:hAnsi="Century Gothic"/>
          <w:bCs/>
          <w:color w:val="595959" w:themeColor="text1" w:themeTint="A6"/>
          <w:spacing w:val="40"/>
          <w:sz w:val="44"/>
          <w:szCs w:val="44"/>
        </w:rPr>
        <w:t xml:space="preserve"> DE MISSION</w:t>
      </w:r>
    </w:p>
    <w:p w14:paraId="108F1FD6" w14:textId="42426CA2" w:rsidR="00E027D3" w:rsidRDefault="000A603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Notre mission consiste à proposer des solutions informatiques innovantes qui optimisent les opérations, assurent l’intégrité des données et améliorent l’expérience client, ce qui va de pair avec l’objectif de Positive Charge de dominer le secteur de la recharge de VE.</w:t>
      </w:r>
    </w:p>
    <w:p w14:paraId="136C9D96" w14:textId="4A38DD27" w:rsidR="005D329C" w:rsidRPr="00C7335E" w:rsidRDefault="00990BA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ÉTAT</w:t>
      </w:r>
      <w:r w:rsidRPr="00C7335E">
        <w:rPr>
          <w:rFonts w:ascii="Century Gothic" w:hAnsi="Century Gothic"/>
          <w:bCs/>
          <w:color w:val="595959" w:themeColor="text1" w:themeTint="A6"/>
          <w:spacing w:val="40"/>
          <w:sz w:val="44"/>
          <w:szCs w:val="44"/>
        </w:rPr>
        <w:t xml:space="preserve"> ACTUEL DE L’INFORMATIQUE</w:t>
      </w:r>
    </w:p>
    <w:p w14:paraId="325347B4" w14:textId="1E620210" w:rsidR="00E027D3" w:rsidRDefault="000A603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L’infrastructure informatique actuelle de Positive Charge nous a bien servis, mais nécessite des mises à niveau pour soutenir nos opérations en pleine croissance. Nous sommes confrontés à des défis en matière d’intégration des données et de cybersécurité, mais nous avons la possibilité de tirer parti de l’informatique en nuage et des technologies de l’Internet des objets pour améliorer la prestation de services.</w:t>
      </w:r>
    </w:p>
    <w:p w14:paraId="608F77BD" w14:textId="7AABBF5F"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OBJECTIFS STRATÉGIQUES</w:t>
      </w:r>
      <w:r w:rsidRPr="00C7335E">
        <w:rPr>
          <w:rFonts w:ascii="Century Gothic" w:hAnsi="Century Gothic"/>
          <w:bCs/>
          <w:color w:val="595959" w:themeColor="text1" w:themeTint="A6"/>
          <w:spacing w:val="40"/>
          <w:sz w:val="44"/>
          <w:szCs w:val="44"/>
        </w:rPr>
        <w:t xml:space="preserve"> ET OBJECTIFS INTERMÉDIAIRES</w:t>
      </w:r>
    </w:p>
    <w:p w14:paraId="2CBEFD79" w14:textId="7CB0AEB7" w:rsidR="000A6039"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Faire migrer 75 % de nos données et applications vers le cloud pour une évolutivité et une reprise après sinistre améliorées d’ici le 4e trimestre 2024.</w:t>
      </w:r>
    </w:p>
    <w:p w14:paraId="360EE133" w14:textId="253DF1F3" w:rsidR="000A6039"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Mettre en œuvre un cadre de cybersécurité à l’échelle de l’entreprise, réduisant la vulnérabilité aux cybermenaces de 50 % d’ici le 2e trimestre 2025.</w:t>
      </w:r>
    </w:p>
    <w:p w14:paraId="6D9F608A" w14:textId="1B34EDA2" w:rsidR="00E027D3"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Développer une plateforme d’analyse de données pour optimiser la logistique et les performances des stations de recharge, augmentant ainsi l’efficacité de 30 % d’ici le 3e trimestre 2025.</w:t>
      </w:r>
    </w:p>
    <w:p w14:paraId="0970C975" w14:textId="429A9358"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INITIATIVES ET</w:t>
      </w:r>
      <w:r w:rsidRPr="00C7335E">
        <w:rPr>
          <w:rFonts w:ascii="Century Gothic" w:hAnsi="Century Gothic"/>
          <w:bCs/>
          <w:color w:val="595959" w:themeColor="text1" w:themeTint="A6"/>
          <w:spacing w:val="40"/>
          <w:sz w:val="44"/>
          <w:szCs w:val="44"/>
        </w:rPr>
        <w:t xml:space="preserve"> PROJETS STRATÉGIQUES</w:t>
      </w:r>
    </w:p>
    <w:p w14:paraId="4E72D2BF" w14:textId="63E0FA91" w:rsidR="00384CFD"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Projet de migration vers le cloud :</w:t>
      </w:r>
      <w:r w:rsidRPr="00DE6EA7">
        <w:rPr>
          <w:rFonts w:ascii="Century Gothic" w:hAnsi="Century Gothic"/>
          <w:color w:val="595959" w:themeColor="text1" w:themeTint="A6"/>
          <w:sz w:val="22"/>
          <w:szCs w:val="22"/>
        </w:rPr>
        <w:t xml:space="preserve"> s’associer à un prestataire de services cloud de premier plan pour la transition de notre stockage de données et de nos applications.</w:t>
      </w:r>
    </w:p>
    <w:p w14:paraId="260BC507" w14:textId="26681EE4" w:rsidR="00384CFD"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Programme d’amélioration de la cybersécurité :</w:t>
      </w:r>
      <w:r w:rsidRPr="00DE6EA7">
        <w:rPr>
          <w:rFonts w:ascii="Century Gothic" w:hAnsi="Century Gothic"/>
          <w:color w:val="595959" w:themeColor="text1" w:themeTint="A6"/>
          <w:sz w:val="22"/>
          <w:szCs w:val="22"/>
        </w:rPr>
        <w:t xml:space="preserve"> déployer des protocoles de sécurité avancés, des formations des employés et des stratégies de réponse aux incidents.</w:t>
      </w:r>
    </w:p>
    <w:p w14:paraId="20AE25FF" w14:textId="58D60C0C" w:rsidR="00E027D3"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Développement de la plateforme d’analyse de données :</w:t>
      </w:r>
      <w:r w:rsidRPr="00DE6EA7">
        <w:rPr>
          <w:rFonts w:ascii="Century Gothic" w:hAnsi="Century Gothic"/>
          <w:color w:val="595959" w:themeColor="text1" w:themeTint="A6"/>
          <w:sz w:val="22"/>
          <w:szCs w:val="22"/>
        </w:rPr>
        <w:t xml:space="preserve"> créer un outil d’analyse personnalisé pour analyser l’utilisation des stations de recharge et la performance logistique.</w:t>
      </w:r>
    </w:p>
    <w:p w14:paraId="691FBB6D" w14:textId="21E570A0" w:rsidR="00D255EF" w:rsidRPr="00C7335E" w:rsidRDefault="00D255EF"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GOUVERNANCE INFORMATIQUE</w:t>
      </w:r>
      <w:r w:rsidRPr="00C7335E">
        <w:rPr>
          <w:rFonts w:ascii="Century Gothic" w:hAnsi="Century Gothic"/>
          <w:bCs/>
          <w:color w:val="595959" w:themeColor="text1" w:themeTint="A6"/>
          <w:spacing w:val="40"/>
          <w:sz w:val="44"/>
          <w:szCs w:val="44"/>
        </w:rPr>
        <w:t xml:space="preserve"> STRUCTURE</w:t>
      </w:r>
    </w:p>
    <w:p w14:paraId="0C831D7A" w14:textId="0A5BE020" w:rsidR="00E027D3" w:rsidRDefault="00384CF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Mettre en place un comité de pilotage informatique, composé des chefs de service et des responsables informatiques, pour orienter la prise de décision, hiérarchiser les projets et assurer l’alignement sur les objectifs commerciaux.</w:t>
      </w:r>
    </w:p>
    <w:p w14:paraId="1A370109" w14:textId="3D3FEAEE"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FEUILLE DE</w:t>
      </w:r>
      <w:r w:rsidRPr="00C7335E">
        <w:rPr>
          <w:rFonts w:ascii="Century Gothic" w:hAnsi="Century Gothic"/>
          <w:bCs/>
          <w:color w:val="595959" w:themeColor="text1" w:themeTint="A6"/>
          <w:spacing w:val="40"/>
          <w:sz w:val="44"/>
          <w:szCs w:val="44"/>
        </w:rPr>
        <w:t xml:space="preserve"> ROUTE TECHNOLOGIQUE</w:t>
      </w:r>
    </w:p>
    <w:p w14:paraId="184C087F" w14:textId="1592B86C" w:rsidR="00384CFD" w:rsidRPr="00DE6EA7" w:rsidRDefault="00384CFD" w:rsidP="00DE6EA7">
      <w:pPr>
        <w:pStyle w:val="ListParagraph"/>
        <w:numPr>
          <w:ilvl w:val="0"/>
          <w:numId w:val="40"/>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2024 </w:t>
      </w:r>
      <w:r>
        <w:rPr>
          <w:rFonts w:ascii="Century Gothic" w:hAnsi="Century Gothic"/>
          <w:color w:val="595959" w:themeColor="text1" w:themeTint="A6"/>
          <w:sz w:val="22"/>
        </w:rPr>
        <w:t>: entamer la migration vers le cloud et lancer le programme de cybersécurité.</w:t>
      </w:r>
    </w:p>
    <w:p w14:paraId="399F7BA4" w14:textId="4ED52407" w:rsidR="00E027D3" w:rsidRPr="00DE6EA7" w:rsidRDefault="00384CFD" w:rsidP="00DE6EA7">
      <w:pPr>
        <w:pStyle w:val="ListParagraph"/>
        <w:numPr>
          <w:ilvl w:val="0"/>
          <w:numId w:val="40"/>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2025 </w:t>
      </w:r>
      <w:r>
        <w:rPr>
          <w:rFonts w:ascii="Century Gothic" w:hAnsi="Century Gothic"/>
          <w:color w:val="595959" w:themeColor="text1" w:themeTint="A6"/>
          <w:sz w:val="22"/>
        </w:rPr>
        <w:t>: achever la transition vers le cloud, déployer la plateforme d’analyse de données et lancer l’IoT pour l’optimisation logistique.</w:t>
      </w:r>
    </w:p>
    <w:p w14:paraId="755D00CB" w14:textId="63CDAD04"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PLAN</w:t>
      </w:r>
      <w:r w:rsidRPr="00C7335E">
        <w:rPr>
          <w:rFonts w:ascii="Century Gothic" w:hAnsi="Century Gothic"/>
          <w:bCs/>
          <w:color w:val="595959" w:themeColor="text1" w:themeTint="A6"/>
          <w:spacing w:val="40"/>
          <w:sz w:val="44"/>
          <w:szCs w:val="44"/>
        </w:rPr>
        <w:t xml:space="preserve"> DE GESTION DES RISQUES</w:t>
      </w:r>
    </w:p>
    <w:p w14:paraId="060BF44B" w14:textId="3CF55865" w:rsidR="00E027D3" w:rsidRDefault="00384CF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Identifier les risques associés à la migration vers le cloud, aux menaces de cybersécurité et à la gestion des données. Développer des plans d’urgence pour les violations de données et les temps d’arrêt des systèmes, et s’assurer de la conformité avec les réglementations sur la protection des données.</w:t>
      </w:r>
    </w:p>
    <w:p w14:paraId="1C926873" w14:textId="3B612EFD"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PLAN EN MATIÈRE DE BUDGET</w:t>
      </w:r>
      <w:r w:rsidRPr="00C7335E">
        <w:rPr>
          <w:rFonts w:ascii="Century Gothic" w:hAnsi="Century Gothic"/>
          <w:bCs/>
          <w:color w:val="595959" w:themeColor="text1" w:themeTint="A6"/>
          <w:spacing w:val="40"/>
          <w:sz w:val="44"/>
          <w:szCs w:val="44"/>
        </w:rPr>
        <w:t xml:space="preserve"> ET DE RESSOURCES</w:t>
      </w:r>
    </w:p>
    <w:p w14:paraId="05799556" w14:textId="6DC9D4ED" w:rsidR="00E027D3" w:rsidRDefault="00DE6EA7"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Allouer 5 millions de dollars au cours des deux prochaines années pour les services infonuagiques, les mesures de cybersécurité et la mise au point de la plateforme d’analyse des données. Investir dans la formation du personnel informatique sur le cloud et les technologies de sécurité.</w:t>
      </w:r>
    </w:p>
    <w:p w14:paraId="13E788C4" w14:textId="5BB84D10"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MÉTRIQUES ET INDICATEURS</w:t>
      </w:r>
      <w:r w:rsidRPr="00C7335E">
        <w:rPr>
          <w:rFonts w:ascii="Century Gothic" w:hAnsi="Century Gothic"/>
          <w:bCs/>
          <w:color w:val="595959" w:themeColor="text1" w:themeTint="A6"/>
          <w:spacing w:val="40"/>
          <w:sz w:val="44"/>
          <w:szCs w:val="44"/>
        </w:rPr>
        <w:t xml:space="preserve"> CLÉS DE PERFORMANCE</w:t>
      </w:r>
    </w:p>
    <w:p w14:paraId="1887AFC4" w14:textId="381A0F52" w:rsidR="00DE6EA7"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Taux d’achèvement de la migration vers le cloud</w:t>
      </w:r>
    </w:p>
    <w:p w14:paraId="286EAC93" w14:textId="29E3B71B" w:rsidR="00DE6EA7"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Réduction des incidents de cybersécurité</w:t>
      </w:r>
    </w:p>
    <w:p w14:paraId="2A4DE0D0" w14:textId="5E1238FF" w:rsidR="00E027D3"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Augmentation de l’efficacité opérationnelle grâce à l’analyse des données</w:t>
      </w:r>
    </w:p>
    <w:p w14:paraId="689BB9B1" w14:textId="55AC58DD" w:rsidR="00325F19" w:rsidRPr="00C7335E" w:rsidRDefault="00325F1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CONSULTATION</w:t>
      </w:r>
      <w:r w:rsidRPr="00C7335E">
        <w:rPr>
          <w:rFonts w:ascii="Century Gothic" w:hAnsi="Century Gothic"/>
          <w:bCs/>
          <w:color w:val="595959" w:themeColor="text1" w:themeTint="A6"/>
          <w:spacing w:val="40"/>
          <w:sz w:val="44"/>
          <w:szCs w:val="44"/>
        </w:rPr>
        <w:t xml:space="preserve"> ET PROCESSUS DE RÉVISION</w:t>
      </w:r>
    </w:p>
    <w:p w14:paraId="5F092B41" w14:textId="7C218937" w:rsidR="00990BA9" w:rsidRDefault="00DE6EA7" w:rsidP="005D329C">
      <w:pPr>
        <w:rPr>
          <w:rFonts w:ascii="Century Gothic" w:hAnsi="Century Gothic" w:cs="Arial"/>
          <w:color w:val="595959" w:themeColor="text1" w:themeTint="A6"/>
          <w:sz w:val="22"/>
          <w:szCs w:val="22"/>
        </w:rPr>
      </w:pPr>
      <w:r>
        <w:rPr>
          <w:rFonts w:ascii="Century Gothic" w:hAnsi="Century Gothic"/>
          <w:color w:val="595959" w:themeColor="text1" w:themeTint="A6"/>
          <w:sz w:val="22"/>
        </w:rPr>
        <w:t>Effectuer des examens semestriels du plan stratégique informatique et ajuster les projets et stratégies en fonction des progrès technologiques et des besoins opérationnels, en veillant à l’alignement continu avec les objectifs de Positive Charge.</w:t>
      </w:r>
    </w:p>
    <w:p w14:paraId="19ED94B6" w14:textId="77777777" w:rsidR="00DE6EA7" w:rsidRDefault="00DE6EA7" w:rsidP="005D329C">
      <w:pPr>
        <w:rPr>
          <w:rFonts w:ascii="Century Gothic" w:hAnsi="Century Gothic" w:cs="Arial"/>
          <w:color w:val="595959" w:themeColor="text1" w:themeTint="A6"/>
          <w:sz w:val="22"/>
          <w:szCs w:val="22"/>
        </w:rPr>
      </w:pPr>
    </w:p>
    <w:p w14:paraId="2650E6E8" w14:textId="304073DC" w:rsidR="00DE6EA7" w:rsidRPr="00DE6EA7" w:rsidRDefault="00DE6EA7" w:rsidP="00DE6EA7">
      <w:pPr>
        <w:spacing w:after="240"/>
        <w:jc w:val="center"/>
        <w:rPr>
          <w:rFonts w:ascii="Century Gothic" w:hAnsi="Century Gothic" w:cs="Arial"/>
          <w:b/>
          <w:color w:val="E2E23A"/>
          <w:sz w:val="44"/>
          <w:szCs w:val="44"/>
          <w:u w:val="single"/>
        </w:rPr>
      </w:pPr>
      <w:r>
        <w:rPr>
          <w:rFonts w:ascii="Century Gothic" w:hAnsi="Century Gothic"/>
          <w:b/>
          <w:color w:val="E2E23A"/>
          <w:spacing w:val="40"/>
          <w:sz w:val="44"/>
          <w:u w:val="single"/>
        </w:rPr>
        <w:t>CONCLUSION</w:t>
      </w:r>
    </w:p>
    <w:p w14:paraId="160D3AA7" w14:textId="1FC010CA" w:rsidR="00DE6EA7" w:rsidRPr="00DE6EA7" w:rsidRDefault="00DE6EA7" w:rsidP="00DE6EA7">
      <w:pPr>
        <w:spacing w:after="240"/>
        <w:rPr>
          <w:rFonts w:ascii="Century Gothic" w:hAnsi="Century Gothic" w:cs="Arial"/>
          <w:bCs/>
          <w:color w:val="595959" w:themeColor="text1" w:themeTint="A6"/>
        </w:rPr>
      </w:pPr>
      <w:r>
        <w:rPr>
          <w:rFonts w:ascii="Century Gothic" w:hAnsi="Century Gothic"/>
          <w:color w:val="595959" w:themeColor="text1" w:themeTint="A6"/>
        </w:rPr>
        <w:t>Ce plan stratégique informatique pose les bases sur lesquelles Positive Charge va s’appuyer pour tirer parti de la technologie comme moteur clé de l’innovation et de l’efficacité dans le secteur de la recharge des VE et de la logistique. En nous concentrant sur l’informatique en nuage, la cybersécurité et l’analyse des données, nous améliorerons nos capacités opérationnelles et positionnerons Positive Charge pour la croissance et la réussite futures.</w:t>
      </w:r>
    </w:p>
    <w:p w14:paraId="05FB4CC2" w14:textId="77777777" w:rsidR="00990BA9" w:rsidRDefault="00990BA9">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53C6A976" w14:textId="77777777" w:rsidR="00373A2C" w:rsidRDefault="00373A2C" w:rsidP="005D329C">
      <w:pPr>
        <w:rPr>
          <w:rFonts w:ascii="Century Gothic" w:hAnsi="Century Gothic" w:cs="Arial"/>
          <w:b/>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9E3BFC">
        <w:trPr>
          <w:trHeight w:val="3403"/>
        </w:trPr>
        <w:tc>
          <w:tcPr>
            <w:tcW w:w="10669" w:type="dxa"/>
          </w:tcPr>
          <w:p w14:paraId="18C6AA7B"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EXCLUSION DE RESPONSABILITÉ</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Pr>
                <w:rFonts w:ascii="Century Gothic" w:hAnsi="Century Gothic"/>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AC3C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FA3C" w14:textId="77777777" w:rsidR="000C734A" w:rsidRDefault="000C734A" w:rsidP="00B01A05">
      <w:r>
        <w:separator/>
      </w:r>
    </w:p>
  </w:endnote>
  <w:endnote w:type="continuationSeparator" w:id="0">
    <w:p w14:paraId="5C827144" w14:textId="77777777" w:rsidR="000C734A" w:rsidRDefault="000C734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6B39" w14:textId="77777777" w:rsidR="000C734A" w:rsidRDefault="000C734A" w:rsidP="00B01A05">
      <w:r>
        <w:separator/>
      </w:r>
    </w:p>
  </w:footnote>
  <w:footnote w:type="continuationSeparator" w:id="0">
    <w:p w14:paraId="24F6C420" w14:textId="77777777" w:rsidR="000C734A" w:rsidRDefault="000C734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0723777"/>
    <w:multiLevelType w:val="hybridMultilevel"/>
    <w:tmpl w:val="19D6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E3C36"/>
    <w:multiLevelType w:val="hybridMultilevel"/>
    <w:tmpl w:val="465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0"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1" w15:restartNumberingAfterBreak="0">
    <w:nsid w:val="52902AC1"/>
    <w:multiLevelType w:val="hybridMultilevel"/>
    <w:tmpl w:val="769C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4"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5" w15:restartNumberingAfterBreak="0">
    <w:nsid w:val="63A61ACB"/>
    <w:multiLevelType w:val="hybridMultilevel"/>
    <w:tmpl w:val="1500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6E9238E"/>
    <w:multiLevelType w:val="hybridMultilevel"/>
    <w:tmpl w:val="8C0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8"/>
  </w:num>
  <w:num w:numId="2" w16cid:durableId="1127819093">
    <w:abstractNumId w:val="22"/>
  </w:num>
  <w:num w:numId="3" w16cid:durableId="950012417">
    <w:abstractNumId w:val="14"/>
  </w:num>
  <w:num w:numId="4" w16cid:durableId="1153720554">
    <w:abstractNumId w:val="26"/>
  </w:num>
  <w:num w:numId="5" w16cid:durableId="175272434">
    <w:abstractNumId w:val="33"/>
  </w:num>
  <w:num w:numId="6" w16cid:durableId="554008328">
    <w:abstractNumId w:val="5"/>
  </w:num>
  <w:num w:numId="7" w16cid:durableId="581791282">
    <w:abstractNumId w:val="16"/>
  </w:num>
  <w:num w:numId="8" w16cid:durableId="1243103372">
    <w:abstractNumId w:val="3"/>
  </w:num>
  <w:num w:numId="9" w16cid:durableId="86967304">
    <w:abstractNumId w:val="31"/>
  </w:num>
  <w:num w:numId="10" w16cid:durableId="240215351">
    <w:abstractNumId w:val="1"/>
  </w:num>
  <w:num w:numId="11" w16cid:durableId="1898860675">
    <w:abstractNumId w:val="30"/>
  </w:num>
  <w:num w:numId="12" w16cid:durableId="1066146112">
    <w:abstractNumId w:val="32"/>
    <w:lvlOverride w:ilvl="0">
      <w:lvl w:ilvl="0">
        <w:numFmt w:val="upperRoman"/>
        <w:lvlText w:val="%1."/>
        <w:lvlJc w:val="right"/>
      </w:lvl>
    </w:lvlOverride>
  </w:num>
  <w:num w:numId="13" w16cid:durableId="1765687501">
    <w:abstractNumId w:val="32"/>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7"/>
  </w:num>
  <w:num w:numId="15" w16cid:durableId="841701362">
    <w:abstractNumId w:val="6"/>
  </w:num>
  <w:num w:numId="16" w16cid:durableId="2013947494">
    <w:abstractNumId w:val="7"/>
  </w:num>
  <w:num w:numId="17" w16cid:durableId="394859089">
    <w:abstractNumId w:val="7"/>
  </w:num>
  <w:num w:numId="18" w16cid:durableId="2098478832">
    <w:abstractNumId w:val="13"/>
  </w:num>
  <w:num w:numId="19" w16cid:durableId="1332945760">
    <w:abstractNumId w:val="29"/>
  </w:num>
  <w:num w:numId="20" w16cid:durableId="1198852583">
    <w:abstractNumId w:val="35"/>
  </w:num>
  <w:num w:numId="21" w16cid:durableId="910311966">
    <w:abstractNumId w:val="9"/>
  </w:num>
  <w:num w:numId="22" w16cid:durableId="1917396455">
    <w:abstractNumId w:val="9"/>
  </w:num>
  <w:num w:numId="23" w16cid:durableId="1540823245">
    <w:abstractNumId w:val="17"/>
  </w:num>
  <w:num w:numId="24" w16cid:durableId="834413496">
    <w:abstractNumId w:val="17"/>
  </w:num>
  <w:num w:numId="25" w16cid:durableId="1288387096">
    <w:abstractNumId w:val="15"/>
  </w:num>
  <w:num w:numId="26" w16cid:durableId="1235624384">
    <w:abstractNumId w:val="15"/>
  </w:num>
  <w:num w:numId="27" w16cid:durableId="975835628">
    <w:abstractNumId w:val="8"/>
  </w:num>
  <w:num w:numId="28" w16cid:durableId="1623415530">
    <w:abstractNumId w:val="19"/>
  </w:num>
  <w:num w:numId="29" w16cid:durableId="1999845085">
    <w:abstractNumId w:val="28"/>
  </w:num>
  <w:num w:numId="30" w16cid:durableId="436218804">
    <w:abstractNumId w:val="28"/>
  </w:num>
  <w:num w:numId="31" w16cid:durableId="1155685251">
    <w:abstractNumId w:val="2"/>
  </w:num>
  <w:num w:numId="32" w16cid:durableId="1524124628">
    <w:abstractNumId w:val="20"/>
  </w:num>
  <w:num w:numId="33" w16cid:durableId="401374216">
    <w:abstractNumId w:val="20"/>
  </w:num>
  <w:num w:numId="34" w16cid:durableId="790321270">
    <w:abstractNumId w:val="10"/>
  </w:num>
  <w:num w:numId="35" w16cid:durableId="174613140">
    <w:abstractNumId w:val="4"/>
  </w:num>
  <w:num w:numId="36" w16cid:durableId="344939668">
    <w:abstractNumId w:val="24"/>
  </w:num>
  <w:num w:numId="37" w16cid:durableId="385106992">
    <w:abstractNumId w:val="23"/>
  </w:num>
  <w:num w:numId="38" w16cid:durableId="1438253496">
    <w:abstractNumId w:val="0"/>
  </w:num>
  <w:num w:numId="39" w16cid:durableId="337540898">
    <w:abstractNumId w:val="12"/>
  </w:num>
  <w:num w:numId="40" w16cid:durableId="643048622">
    <w:abstractNumId w:val="25"/>
  </w:num>
  <w:num w:numId="41" w16cid:durableId="1667660280">
    <w:abstractNumId w:val="34"/>
  </w:num>
  <w:num w:numId="42" w16cid:durableId="954824666">
    <w:abstractNumId w:val="11"/>
  </w:num>
  <w:num w:numId="43" w16cid:durableId="1782338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03E2"/>
    <w:rsid w:val="00043993"/>
    <w:rsid w:val="00044BBF"/>
    <w:rsid w:val="00055227"/>
    <w:rsid w:val="0006530C"/>
    <w:rsid w:val="0007196B"/>
    <w:rsid w:val="00074389"/>
    <w:rsid w:val="000809A7"/>
    <w:rsid w:val="00085C2D"/>
    <w:rsid w:val="000A6039"/>
    <w:rsid w:val="000A7AEF"/>
    <w:rsid w:val="000B31AF"/>
    <w:rsid w:val="000C1664"/>
    <w:rsid w:val="000C2B36"/>
    <w:rsid w:val="000C4BFF"/>
    <w:rsid w:val="000C5AA8"/>
    <w:rsid w:val="000C734A"/>
    <w:rsid w:val="000D7167"/>
    <w:rsid w:val="0014046B"/>
    <w:rsid w:val="001405DC"/>
    <w:rsid w:val="001433AA"/>
    <w:rsid w:val="0016761D"/>
    <w:rsid w:val="001756F3"/>
    <w:rsid w:val="00187FF1"/>
    <w:rsid w:val="001977AD"/>
    <w:rsid w:val="001B40AD"/>
    <w:rsid w:val="001D0184"/>
    <w:rsid w:val="001F2768"/>
    <w:rsid w:val="001F69A7"/>
    <w:rsid w:val="002050AC"/>
    <w:rsid w:val="00213767"/>
    <w:rsid w:val="002200FE"/>
    <w:rsid w:val="00243542"/>
    <w:rsid w:val="00244C0D"/>
    <w:rsid w:val="00285971"/>
    <w:rsid w:val="00292609"/>
    <w:rsid w:val="002B44C0"/>
    <w:rsid w:val="002B7AD3"/>
    <w:rsid w:val="002D4552"/>
    <w:rsid w:val="002F57EE"/>
    <w:rsid w:val="00325F19"/>
    <w:rsid w:val="003566B4"/>
    <w:rsid w:val="00373A2C"/>
    <w:rsid w:val="00384CFD"/>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686"/>
    <w:rsid w:val="00556DD9"/>
    <w:rsid w:val="005616D8"/>
    <w:rsid w:val="005620D4"/>
    <w:rsid w:val="0056421F"/>
    <w:rsid w:val="00572F55"/>
    <w:rsid w:val="005915AC"/>
    <w:rsid w:val="005940AC"/>
    <w:rsid w:val="005954C5"/>
    <w:rsid w:val="00597565"/>
    <w:rsid w:val="005A06B3"/>
    <w:rsid w:val="005A14AE"/>
    <w:rsid w:val="005A3869"/>
    <w:rsid w:val="005B29EF"/>
    <w:rsid w:val="005B70D5"/>
    <w:rsid w:val="005D08BE"/>
    <w:rsid w:val="005D329C"/>
    <w:rsid w:val="005F1785"/>
    <w:rsid w:val="00622259"/>
    <w:rsid w:val="0062450E"/>
    <w:rsid w:val="00630C58"/>
    <w:rsid w:val="00641741"/>
    <w:rsid w:val="00656455"/>
    <w:rsid w:val="00665F5E"/>
    <w:rsid w:val="00666C1E"/>
    <w:rsid w:val="00674F2B"/>
    <w:rsid w:val="006837D4"/>
    <w:rsid w:val="00687339"/>
    <w:rsid w:val="00691D73"/>
    <w:rsid w:val="00692C04"/>
    <w:rsid w:val="006C6A0C"/>
    <w:rsid w:val="006F5384"/>
    <w:rsid w:val="00702DDD"/>
    <w:rsid w:val="00716677"/>
    <w:rsid w:val="00717895"/>
    <w:rsid w:val="00750BF6"/>
    <w:rsid w:val="00761512"/>
    <w:rsid w:val="00762989"/>
    <w:rsid w:val="00763525"/>
    <w:rsid w:val="00781CE1"/>
    <w:rsid w:val="0079125E"/>
    <w:rsid w:val="007F70A6"/>
    <w:rsid w:val="00811B86"/>
    <w:rsid w:val="0081333F"/>
    <w:rsid w:val="00817DB4"/>
    <w:rsid w:val="00840CF7"/>
    <w:rsid w:val="0086192E"/>
    <w:rsid w:val="008A5C9F"/>
    <w:rsid w:val="008D181F"/>
    <w:rsid w:val="008D1A12"/>
    <w:rsid w:val="008D1E28"/>
    <w:rsid w:val="008D3809"/>
    <w:rsid w:val="008D4662"/>
    <w:rsid w:val="008E3A9E"/>
    <w:rsid w:val="008F30DF"/>
    <w:rsid w:val="009014B6"/>
    <w:rsid w:val="0091097D"/>
    <w:rsid w:val="009168B2"/>
    <w:rsid w:val="009215F4"/>
    <w:rsid w:val="00937B38"/>
    <w:rsid w:val="00941C71"/>
    <w:rsid w:val="00970009"/>
    <w:rsid w:val="00990BA9"/>
    <w:rsid w:val="009A6136"/>
    <w:rsid w:val="009B1BC2"/>
    <w:rsid w:val="009B354D"/>
    <w:rsid w:val="009D1EDB"/>
    <w:rsid w:val="009E0257"/>
    <w:rsid w:val="009E3BFC"/>
    <w:rsid w:val="009E63D7"/>
    <w:rsid w:val="00A008FD"/>
    <w:rsid w:val="00A044D5"/>
    <w:rsid w:val="00A1634E"/>
    <w:rsid w:val="00A17074"/>
    <w:rsid w:val="00A40022"/>
    <w:rsid w:val="00A5039D"/>
    <w:rsid w:val="00A63DB9"/>
    <w:rsid w:val="00A77BCB"/>
    <w:rsid w:val="00AA2BE9"/>
    <w:rsid w:val="00AB30F3"/>
    <w:rsid w:val="00AB771A"/>
    <w:rsid w:val="00AC1FED"/>
    <w:rsid w:val="00AC3CA8"/>
    <w:rsid w:val="00AC5287"/>
    <w:rsid w:val="00AF39FF"/>
    <w:rsid w:val="00AF6008"/>
    <w:rsid w:val="00B00DE1"/>
    <w:rsid w:val="00B01A05"/>
    <w:rsid w:val="00B300F4"/>
    <w:rsid w:val="00B40948"/>
    <w:rsid w:val="00B50C12"/>
    <w:rsid w:val="00B622FB"/>
    <w:rsid w:val="00B753BF"/>
    <w:rsid w:val="00B7694B"/>
    <w:rsid w:val="00B90509"/>
    <w:rsid w:val="00BB0C36"/>
    <w:rsid w:val="00BC6821"/>
    <w:rsid w:val="00BF3DE2"/>
    <w:rsid w:val="00BF7662"/>
    <w:rsid w:val="00C44DFA"/>
    <w:rsid w:val="00C45C77"/>
    <w:rsid w:val="00C7335E"/>
    <w:rsid w:val="00C739B9"/>
    <w:rsid w:val="00C74202"/>
    <w:rsid w:val="00C77741"/>
    <w:rsid w:val="00C80620"/>
    <w:rsid w:val="00C85828"/>
    <w:rsid w:val="00CA64DD"/>
    <w:rsid w:val="00CB2E1D"/>
    <w:rsid w:val="00CE2546"/>
    <w:rsid w:val="00CE2A52"/>
    <w:rsid w:val="00CF53DC"/>
    <w:rsid w:val="00D20D28"/>
    <w:rsid w:val="00D255EF"/>
    <w:rsid w:val="00D31FD7"/>
    <w:rsid w:val="00D3383E"/>
    <w:rsid w:val="00D404D2"/>
    <w:rsid w:val="00D601A2"/>
    <w:rsid w:val="00D75350"/>
    <w:rsid w:val="00D82800"/>
    <w:rsid w:val="00DE6C8B"/>
    <w:rsid w:val="00DE6EA7"/>
    <w:rsid w:val="00DF00E4"/>
    <w:rsid w:val="00DF2717"/>
    <w:rsid w:val="00E027D3"/>
    <w:rsid w:val="00E2116E"/>
    <w:rsid w:val="00E262A2"/>
    <w:rsid w:val="00E26AB8"/>
    <w:rsid w:val="00E32C58"/>
    <w:rsid w:val="00E75D3C"/>
    <w:rsid w:val="00E8526C"/>
    <w:rsid w:val="00EB6A86"/>
    <w:rsid w:val="00F157D7"/>
    <w:rsid w:val="00F17080"/>
    <w:rsid w:val="00F36F1D"/>
    <w:rsid w:val="00F40611"/>
    <w:rsid w:val="00F54105"/>
    <w:rsid w:val="00F54EB7"/>
    <w:rsid w:val="00F66C8C"/>
    <w:rsid w:val="00F918B4"/>
    <w:rsid w:val="00F9619E"/>
    <w:rsid w:val="00FA649B"/>
    <w:rsid w:val="00FB42FA"/>
    <w:rsid w:val="00FB7A35"/>
    <w:rsid w:val="00FC3406"/>
    <w:rsid w:val="00FC6B28"/>
    <w:rsid w:val="00FC6E7F"/>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ref2-IC-One-Page-Business-Plan-Template-10787_WORD.dotx</Template>
  <TotalTime>19</TotalTime>
  <Pages>4</Pages>
  <Words>744</Words>
  <Characters>4594</Characters>
  <Application>Microsoft Office Word</Application>
  <DocSecurity>0</DocSecurity>
  <Lines>143</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min qu</cp:lastModifiedBy>
  <cp:revision>11</cp:revision>
  <cp:lastPrinted>2024-11-13T04:14:00Z</cp:lastPrinted>
  <dcterms:created xsi:type="dcterms:W3CDTF">2024-03-22T19:59:00Z</dcterms:created>
  <dcterms:modified xsi:type="dcterms:W3CDTF">2024-11-14T13:32:00Z</dcterms:modified>
</cp:coreProperties>
</file>