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5DDB2" w14:textId="04FCD4C0" w:rsidR="00AB771A" w:rsidRPr="00A24455" w:rsidRDefault="00AB771A" w:rsidP="00AC5287">
      <w:pPr>
        <w:pStyle w:val="Header"/>
        <w:rPr>
          <w:rFonts w:ascii="Century Gothic" w:hAnsi="Century Gothic" w:cs="Arial"/>
          <w:b/>
          <w:color w:val="595959" w:themeColor="text1" w:themeTint="A6"/>
          <w:spacing w:val="-4"/>
          <w:sz w:val="44"/>
          <w:szCs w:val="44"/>
        </w:rPr>
      </w:pPr>
      <w:r w:rsidRPr="00A24455">
        <w:rPr>
          <w:rFonts w:ascii="Century Gothic" w:hAnsi="Century Gothic"/>
          <w:b/>
          <w:noProof/>
          <w:color w:val="595959" w:themeColor="text1" w:themeTint="A6"/>
          <w:spacing w:val="-4"/>
          <w:sz w:val="44"/>
          <w:szCs w:val="44"/>
        </w:rPr>
        <w:drawing>
          <wp:anchor distT="0" distB="0" distL="114300" distR="114300" simplePos="0" relativeHeight="251660288" behindDoc="0" locked="0" layoutInCell="1" allowOverlap="1" wp14:anchorId="4A368DA2" wp14:editId="7A17F644">
            <wp:simplePos x="0" y="0"/>
            <wp:positionH relativeFrom="margin">
              <wp:posOffset>4152900</wp:posOffset>
            </wp:positionH>
            <wp:positionV relativeFrom="paragraph">
              <wp:posOffset>38100</wp:posOffset>
            </wp:positionV>
            <wp:extent cx="2721600" cy="540000"/>
            <wp:effectExtent l="0" t="0" r="3175" b="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21600" cy="540000"/>
                    </a:xfrm>
                    <a:prstGeom prst="rect">
                      <a:avLst/>
                    </a:prstGeom>
                  </pic:spPr>
                </pic:pic>
              </a:graphicData>
            </a:graphic>
            <wp14:sizeRelH relativeFrom="margin">
              <wp14:pctWidth>0</wp14:pctWidth>
            </wp14:sizeRelH>
            <wp14:sizeRelV relativeFrom="margin">
              <wp14:pctHeight>0</wp14:pctHeight>
            </wp14:sizeRelV>
          </wp:anchor>
        </w:drawing>
      </w:r>
      <w:r w:rsidRPr="00A24455">
        <w:rPr>
          <w:rFonts w:ascii="Century Gothic" w:hAnsi="Century Gothic"/>
          <w:b/>
          <w:color w:val="595959" w:themeColor="text1" w:themeTint="A6"/>
          <w:spacing w:val="-4"/>
          <w:sz w:val="44"/>
        </w:rPr>
        <w:t xml:space="preserve">EXEMPLE DE MODÈLE DE </w:t>
      </w:r>
      <w:r w:rsidRPr="00A24455">
        <w:rPr>
          <w:rFonts w:ascii="Century Gothic" w:hAnsi="Century Gothic"/>
          <w:b/>
          <w:color w:val="595959" w:themeColor="text1" w:themeTint="A6"/>
          <w:spacing w:val="-4"/>
          <w:sz w:val="44"/>
          <w:szCs w:val="44"/>
        </w:rPr>
        <w:br/>
      </w:r>
      <w:r w:rsidRPr="00A24455">
        <w:rPr>
          <w:rFonts w:ascii="Century Gothic" w:hAnsi="Century Gothic"/>
          <w:b/>
          <w:color w:val="595959" w:themeColor="text1" w:themeTint="A6"/>
          <w:spacing w:val="-4"/>
          <w:sz w:val="44"/>
        </w:rPr>
        <w:t xml:space="preserve">PLAN D’AFFAIRES STRATÉGIQUE </w:t>
      </w:r>
      <w:r w:rsidR="00A24455" w:rsidRPr="00A24455">
        <w:rPr>
          <w:rFonts w:ascii="Century Gothic" w:hAnsi="Century Gothic"/>
          <w:b/>
          <w:color w:val="595959" w:themeColor="text1" w:themeTint="A6"/>
          <w:spacing w:val="-4"/>
          <w:sz w:val="44"/>
        </w:rPr>
        <w:br/>
      </w:r>
      <w:r w:rsidRPr="00A24455">
        <w:rPr>
          <w:rFonts w:ascii="Century Gothic" w:hAnsi="Century Gothic"/>
          <w:b/>
          <w:color w:val="595959" w:themeColor="text1" w:themeTint="A6"/>
          <w:spacing w:val="-4"/>
          <w:sz w:val="44"/>
        </w:rPr>
        <w:t>SUR UNE PAGE pour Microsoft Word</w:t>
      </w:r>
    </w:p>
    <w:p w14:paraId="616AC4A3" w14:textId="77777777" w:rsidR="00AB771A" w:rsidRPr="00A24455" w:rsidRDefault="00AB771A" w:rsidP="00AC5287">
      <w:pPr>
        <w:pStyle w:val="Header"/>
        <w:rPr>
          <w:rFonts w:ascii="Century Gothic" w:hAnsi="Century Gothic" w:cs="Arial"/>
          <w:b/>
          <w:color w:val="595959" w:themeColor="text1" w:themeTint="A6"/>
          <w:sz w:val="8"/>
          <w:szCs w:val="8"/>
        </w:rPr>
      </w:pPr>
    </w:p>
    <w:p w14:paraId="591A1F97" w14:textId="7CD58740" w:rsidR="00AB771A" w:rsidRDefault="006F1A78" w:rsidP="00AC5287">
      <w:pPr>
        <w:pStyle w:val="Header"/>
        <w:rPr>
          <w:rFonts w:ascii="Century Gothic" w:hAnsi="Century Gothic" w:cs="Arial"/>
          <w:color w:val="000000"/>
          <w:sz w:val="20"/>
          <w:szCs w:val="20"/>
        </w:rPr>
      </w:pPr>
      <w:r>
        <w:rPr>
          <w:rFonts w:ascii="Century Gothic" w:hAnsi="Century Gothic"/>
          <w:color w:val="000000"/>
          <w:sz w:val="20"/>
        </w:rPr>
        <w:t>Ce qui suit donne une vue d’ensemble claire et stratégique de Positive Charge, avec l’orientation de l’entreprise et la présentation de ses plans de croissance, sans oublier l’innovation dans le secteur de la recharge et de la logistique pour les véhicules électriques.</w:t>
      </w:r>
    </w:p>
    <w:p w14:paraId="05735E50" w14:textId="77777777" w:rsidR="006F1A78" w:rsidRPr="00A24455" w:rsidRDefault="006F1A78" w:rsidP="00AC5287">
      <w:pPr>
        <w:pStyle w:val="Header"/>
        <w:rPr>
          <w:rFonts w:ascii="Century Gothic" w:hAnsi="Century Gothic" w:cs="Arial"/>
          <w:b/>
          <w:color w:val="595959" w:themeColor="text1" w:themeTint="A6"/>
          <w:sz w:val="18"/>
          <w:szCs w:val="18"/>
        </w:rPr>
      </w:pPr>
    </w:p>
    <w:tbl>
      <w:tblPr>
        <w:tblStyle w:val="TableGrid"/>
        <w:tblW w:w="0" w:type="auto"/>
        <w:tblLook w:val="04A0" w:firstRow="1" w:lastRow="0" w:firstColumn="1" w:lastColumn="0" w:noHBand="0" w:noVBand="1"/>
      </w:tblPr>
      <w:tblGrid>
        <w:gridCol w:w="715"/>
        <w:gridCol w:w="2966"/>
        <w:gridCol w:w="7109"/>
      </w:tblGrid>
      <w:tr w:rsidR="00AB771A" w14:paraId="0C6A184A" w14:textId="77777777" w:rsidTr="00A24455">
        <w:trPr>
          <w:trHeight w:val="905"/>
        </w:trPr>
        <w:tc>
          <w:tcPr>
            <w:tcW w:w="715" w:type="dxa"/>
            <w:shd w:val="clear" w:color="auto" w:fill="E2E23A"/>
            <w:vAlign w:val="center"/>
          </w:tcPr>
          <w:p w14:paraId="718D2AD9" w14:textId="57C75DA9" w:rsidR="00AB771A" w:rsidRPr="002F57EE" w:rsidRDefault="00AB771A" w:rsidP="00AB771A">
            <w:pPr>
              <w:jc w:val="center"/>
              <w:rPr>
                <w:rFonts w:ascii="Century Gothic" w:hAnsi="Century Gothic" w:cs="Arial"/>
                <w:bCs/>
                <w:color w:val="595959" w:themeColor="text1" w:themeTint="A6"/>
                <w:sz w:val="28"/>
                <w:szCs w:val="28"/>
              </w:rPr>
            </w:pPr>
            <w:r>
              <w:rPr>
                <w:rFonts w:ascii="Century Gothic" w:hAnsi="Century Gothic"/>
                <w:color w:val="595959" w:themeColor="text1" w:themeTint="A6"/>
                <w:sz w:val="28"/>
              </w:rPr>
              <w:t>1</w:t>
            </w:r>
          </w:p>
        </w:tc>
        <w:tc>
          <w:tcPr>
            <w:tcW w:w="2966" w:type="dxa"/>
            <w:shd w:val="clear" w:color="auto" w:fill="FAF9D3"/>
            <w:vAlign w:val="center"/>
          </w:tcPr>
          <w:p w14:paraId="4FB1BFC4" w14:textId="77A6350A" w:rsidR="00AB771A" w:rsidRPr="00AB771A" w:rsidRDefault="00AB771A">
            <w:pPr>
              <w:rPr>
                <w:rFonts w:ascii="Century Gothic" w:hAnsi="Century Gothic" w:cs="Arial"/>
                <w:bCs/>
                <w:color w:val="595959" w:themeColor="text1" w:themeTint="A6"/>
                <w:sz w:val="28"/>
                <w:szCs w:val="28"/>
              </w:rPr>
            </w:pPr>
            <w:r>
              <w:rPr>
                <w:rFonts w:ascii="Century Gothic" w:hAnsi="Century Gothic"/>
                <w:color w:val="595959" w:themeColor="text1" w:themeTint="A6"/>
                <w:sz w:val="28"/>
              </w:rPr>
              <w:t>ÉNONCÉ DE VISION</w:t>
            </w:r>
          </w:p>
        </w:tc>
        <w:tc>
          <w:tcPr>
            <w:tcW w:w="7109" w:type="dxa"/>
            <w:vAlign w:val="center"/>
          </w:tcPr>
          <w:p w14:paraId="7116A2A2" w14:textId="2F599F17" w:rsidR="00AB771A" w:rsidRPr="002F57EE" w:rsidRDefault="006F1A78">
            <w:pPr>
              <w:rPr>
                <w:rFonts w:ascii="Century Gothic" w:hAnsi="Century Gothic" w:cs="Arial"/>
                <w:bCs/>
                <w:color w:val="595959" w:themeColor="text1" w:themeTint="A6"/>
                <w:sz w:val="20"/>
                <w:szCs w:val="20"/>
              </w:rPr>
            </w:pPr>
            <w:r>
              <w:rPr>
                <w:rFonts w:ascii="Century Gothic" w:hAnsi="Century Gothic"/>
                <w:color w:val="595959" w:themeColor="text1" w:themeTint="A6"/>
                <w:sz w:val="20"/>
              </w:rPr>
              <w:t>Être le principal fournisseur de solutions de recharge innovantes et durables pour VE, révolutionnant le transport et la logistique pour une planète plus verte d’ici 20XX.</w:t>
            </w:r>
          </w:p>
        </w:tc>
      </w:tr>
      <w:tr w:rsidR="00AB771A" w14:paraId="6E1C1F6F" w14:textId="77777777" w:rsidTr="00A24455">
        <w:trPr>
          <w:trHeight w:val="1087"/>
        </w:trPr>
        <w:tc>
          <w:tcPr>
            <w:tcW w:w="715" w:type="dxa"/>
            <w:shd w:val="clear" w:color="auto" w:fill="E2E23A"/>
            <w:vAlign w:val="center"/>
          </w:tcPr>
          <w:p w14:paraId="5D32970A" w14:textId="16610EAA" w:rsidR="00AB771A" w:rsidRPr="002F57EE" w:rsidRDefault="00AB771A" w:rsidP="00AB771A">
            <w:pPr>
              <w:jc w:val="center"/>
              <w:rPr>
                <w:rFonts w:ascii="Century Gothic" w:hAnsi="Century Gothic" w:cs="Arial"/>
                <w:bCs/>
                <w:color w:val="595959" w:themeColor="text1" w:themeTint="A6"/>
                <w:sz w:val="28"/>
                <w:szCs w:val="28"/>
              </w:rPr>
            </w:pPr>
            <w:r>
              <w:rPr>
                <w:rFonts w:ascii="Century Gothic" w:hAnsi="Century Gothic"/>
                <w:color w:val="595959" w:themeColor="text1" w:themeTint="A6"/>
                <w:sz w:val="28"/>
              </w:rPr>
              <w:t>2</w:t>
            </w:r>
          </w:p>
        </w:tc>
        <w:tc>
          <w:tcPr>
            <w:tcW w:w="2966" w:type="dxa"/>
            <w:shd w:val="clear" w:color="auto" w:fill="FAF9D3"/>
            <w:vAlign w:val="center"/>
          </w:tcPr>
          <w:p w14:paraId="78D93166" w14:textId="7C457EC6" w:rsidR="00AB771A" w:rsidRPr="00AB771A" w:rsidRDefault="00AB771A">
            <w:pPr>
              <w:rPr>
                <w:rFonts w:ascii="Century Gothic" w:hAnsi="Century Gothic" w:cs="Arial"/>
                <w:bCs/>
                <w:color w:val="595959" w:themeColor="text1" w:themeTint="A6"/>
                <w:sz w:val="28"/>
                <w:szCs w:val="28"/>
              </w:rPr>
            </w:pPr>
            <w:r>
              <w:rPr>
                <w:rFonts w:ascii="Century Gothic" w:hAnsi="Century Gothic"/>
                <w:color w:val="595959" w:themeColor="text1" w:themeTint="A6"/>
                <w:sz w:val="28"/>
              </w:rPr>
              <w:t>ÉNONCÉ DE MISSION</w:t>
            </w:r>
          </w:p>
        </w:tc>
        <w:tc>
          <w:tcPr>
            <w:tcW w:w="7109" w:type="dxa"/>
            <w:vAlign w:val="center"/>
          </w:tcPr>
          <w:p w14:paraId="3F48FCEE" w14:textId="0F83D26E" w:rsidR="00AB771A" w:rsidRPr="002F57EE" w:rsidRDefault="00EE6A02">
            <w:pPr>
              <w:rPr>
                <w:rFonts w:ascii="Century Gothic" w:hAnsi="Century Gothic" w:cs="Arial"/>
                <w:bCs/>
                <w:color w:val="595959" w:themeColor="text1" w:themeTint="A6"/>
                <w:sz w:val="20"/>
                <w:szCs w:val="20"/>
              </w:rPr>
            </w:pPr>
            <w:r>
              <w:rPr>
                <w:rFonts w:ascii="Century Gothic" w:hAnsi="Century Gothic"/>
                <w:color w:val="595959" w:themeColor="text1" w:themeTint="A6"/>
                <w:sz w:val="20"/>
              </w:rPr>
              <w:t>Positive Charge fournit une infrastructure de recharge de véhicules électriques de pointe et une assistance logistique, et se concentre sur la durabilité, l’efficacité et le service exceptionnel qui favorisent la transition vers la mobilité électrique.</w:t>
            </w:r>
          </w:p>
        </w:tc>
      </w:tr>
      <w:tr w:rsidR="00AB771A" w14:paraId="3481DB5B" w14:textId="77777777" w:rsidTr="00A24455">
        <w:trPr>
          <w:trHeight w:val="864"/>
        </w:trPr>
        <w:tc>
          <w:tcPr>
            <w:tcW w:w="715" w:type="dxa"/>
            <w:shd w:val="clear" w:color="auto" w:fill="E2E23A"/>
            <w:vAlign w:val="center"/>
          </w:tcPr>
          <w:p w14:paraId="0DBFB471" w14:textId="247C434F" w:rsidR="00AB771A" w:rsidRPr="002F57EE" w:rsidRDefault="00AB771A" w:rsidP="00AB771A">
            <w:pPr>
              <w:jc w:val="center"/>
              <w:rPr>
                <w:rFonts w:ascii="Century Gothic" w:hAnsi="Century Gothic" w:cs="Arial"/>
                <w:bCs/>
                <w:color w:val="595959" w:themeColor="text1" w:themeTint="A6"/>
                <w:sz w:val="28"/>
                <w:szCs w:val="28"/>
              </w:rPr>
            </w:pPr>
            <w:r>
              <w:rPr>
                <w:rFonts w:ascii="Century Gothic" w:hAnsi="Century Gothic"/>
                <w:color w:val="595959" w:themeColor="text1" w:themeTint="A6"/>
                <w:sz w:val="28"/>
              </w:rPr>
              <w:t>3</w:t>
            </w:r>
          </w:p>
        </w:tc>
        <w:tc>
          <w:tcPr>
            <w:tcW w:w="2966" w:type="dxa"/>
            <w:shd w:val="clear" w:color="auto" w:fill="FAF9D3"/>
            <w:vAlign w:val="center"/>
          </w:tcPr>
          <w:p w14:paraId="0E7A0841" w14:textId="346DEB85" w:rsidR="00AB771A" w:rsidRPr="00AB771A" w:rsidRDefault="00AB771A">
            <w:pPr>
              <w:rPr>
                <w:rFonts w:ascii="Century Gothic" w:hAnsi="Century Gothic" w:cs="Arial"/>
                <w:bCs/>
                <w:color w:val="595959" w:themeColor="text1" w:themeTint="A6"/>
                <w:sz w:val="28"/>
                <w:szCs w:val="28"/>
              </w:rPr>
            </w:pPr>
            <w:r>
              <w:rPr>
                <w:rFonts w:ascii="Century Gothic" w:hAnsi="Century Gothic"/>
                <w:color w:val="595959" w:themeColor="text1" w:themeTint="A6"/>
                <w:sz w:val="28"/>
              </w:rPr>
              <w:t>VALEURS FONDAMENTALES</w:t>
            </w:r>
          </w:p>
        </w:tc>
        <w:tc>
          <w:tcPr>
            <w:tcW w:w="7109" w:type="dxa"/>
            <w:vAlign w:val="center"/>
          </w:tcPr>
          <w:p w14:paraId="7A9B57BD" w14:textId="7ED759F9" w:rsidR="00AB771A" w:rsidRPr="002F57EE" w:rsidRDefault="00EE6A02">
            <w:pPr>
              <w:rPr>
                <w:rFonts w:ascii="Century Gothic" w:hAnsi="Century Gothic" w:cs="Arial"/>
                <w:bCs/>
                <w:color w:val="595959" w:themeColor="text1" w:themeTint="A6"/>
                <w:sz w:val="20"/>
                <w:szCs w:val="20"/>
              </w:rPr>
            </w:pPr>
            <w:r>
              <w:rPr>
                <w:rFonts w:ascii="Century Gothic" w:hAnsi="Century Gothic"/>
                <w:b/>
                <w:color w:val="595959" w:themeColor="text1" w:themeTint="A6"/>
                <w:sz w:val="20"/>
              </w:rPr>
              <w:t>Innovation</w:t>
            </w:r>
            <w:r w:rsidRPr="00EE6A02">
              <w:rPr>
                <w:rFonts w:ascii="Century Gothic" w:hAnsi="Century Gothic"/>
                <w:bCs/>
                <w:color w:val="595959" w:themeColor="text1" w:themeTint="A6"/>
                <w:sz w:val="20"/>
                <w:szCs w:val="20"/>
              </w:rPr>
              <w:t xml:space="preserve">, </w:t>
            </w:r>
            <w:r>
              <w:rPr>
                <w:rFonts w:ascii="Century Gothic" w:hAnsi="Century Gothic"/>
                <w:b/>
                <w:color w:val="595959" w:themeColor="text1" w:themeTint="A6"/>
                <w:sz w:val="20"/>
              </w:rPr>
              <w:t>durabilité</w:t>
            </w:r>
            <w:r w:rsidRPr="00EE6A02">
              <w:rPr>
                <w:rFonts w:ascii="Century Gothic" w:hAnsi="Century Gothic"/>
                <w:bCs/>
                <w:color w:val="595959" w:themeColor="text1" w:themeTint="A6"/>
                <w:sz w:val="20"/>
                <w:szCs w:val="20"/>
              </w:rPr>
              <w:t xml:space="preserve">, </w:t>
            </w:r>
            <w:r>
              <w:rPr>
                <w:rFonts w:ascii="Century Gothic" w:hAnsi="Century Gothic"/>
                <w:b/>
                <w:color w:val="595959" w:themeColor="text1" w:themeTint="A6"/>
                <w:sz w:val="20"/>
              </w:rPr>
              <w:t>satisfaction client</w:t>
            </w:r>
            <w:r w:rsidRPr="00EE6A02">
              <w:rPr>
                <w:rFonts w:ascii="Century Gothic" w:hAnsi="Century Gothic"/>
                <w:bCs/>
                <w:color w:val="595959" w:themeColor="text1" w:themeTint="A6"/>
                <w:sz w:val="20"/>
                <w:szCs w:val="20"/>
              </w:rPr>
              <w:t xml:space="preserve">, </w:t>
            </w:r>
            <w:r>
              <w:rPr>
                <w:rFonts w:ascii="Century Gothic" w:hAnsi="Century Gothic"/>
                <w:b/>
                <w:color w:val="595959" w:themeColor="text1" w:themeTint="A6"/>
                <w:sz w:val="20"/>
              </w:rPr>
              <w:t>intégrité</w:t>
            </w:r>
            <w:r w:rsidRPr="00EE6A02">
              <w:rPr>
                <w:rFonts w:ascii="Century Gothic" w:hAnsi="Century Gothic"/>
                <w:bCs/>
                <w:color w:val="595959" w:themeColor="text1" w:themeTint="A6"/>
                <w:sz w:val="20"/>
                <w:szCs w:val="20"/>
              </w:rPr>
              <w:t xml:space="preserve"> et </w:t>
            </w:r>
            <w:r>
              <w:rPr>
                <w:rFonts w:ascii="Century Gothic" w:hAnsi="Century Gothic"/>
                <w:b/>
                <w:color w:val="595959" w:themeColor="text1" w:themeTint="A6"/>
                <w:sz w:val="20"/>
              </w:rPr>
              <w:t>travail d’équipe</w:t>
            </w:r>
            <w:r>
              <w:rPr>
                <w:rFonts w:ascii="Century Gothic" w:hAnsi="Century Gothic"/>
                <w:color w:val="595959" w:themeColor="text1" w:themeTint="A6"/>
                <w:sz w:val="20"/>
              </w:rPr>
              <w:t>, voici ce qui nous incite à dépasser les attentes et à prendre la tête du secteur de la recharge des VE.</w:t>
            </w:r>
          </w:p>
        </w:tc>
      </w:tr>
      <w:tr w:rsidR="00AB771A" w14:paraId="35A1BA44" w14:textId="77777777" w:rsidTr="00A24455">
        <w:trPr>
          <w:trHeight w:val="1785"/>
        </w:trPr>
        <w:tc>
          <w:tcPr>
            <w:tcW w:w="715" w:type="dxa"/>
            <w:shd w:val="clear" w:color="auto" w:fill="E2E23A"/>
            <w:vAlign w:val="center"/>
          </w:tcPr>
          <w:p w14:paraId="42115EB9" w14:textId="4E2F0657" w:rsidR="00AB771A" w:rsidRPr="002F57EE" w:rsidRDefault="00AB771A" w:rsidP="00AB771A">
            <w:pPr>
              <w:jc w:val="center"/>
              <w:rPr>
                <w:rFonts w:ascii="Century Gothic" w:hAnsi="Century Gothic" w:cs="Arial"/>
                <w:bCs/>
                <w:color w:val="595959" w:themeColor="text1" w:themeTint="A6"/>
                <w:sz w:val="28"/>
                <w:szCs w:val="28"/>
              </w:rPr>
            </w:pPr>
            <w:r>
              <w:rPr>
                <w:rFonts w:ascii="Century Gothic" w:hAnsi="Century Gothic"/>
                <w:color w:val="595959" w:themeColor="text1" w:themeTint="A6"/>
                <w:sz w:val="28"/>
              </w:rPr>
              <w:t>4</w:t>
            </w:r>
          </w:p>
        </w:tc>
        <w:tc>
          <w:tcPr>
            <w:tcW w:w="2966" w:type="dxa"/>
            <w:shd w:val="clear" w:color="auto" w:fill="FAF9D3"/>
            <w:vAlign w:val="center"/>
          </w:tcPr>
          <w:p w14:paraId="2F6BBC7E" w14:textId="6C59159C" w:rsidR="00AB771A" w:rsidRPr="00AB771A" w:rsidRDefault="00AB771A">
            <w:pPr>
              <w:rPr>
                <w:rFonts w:ascii="Century Gothic" w:hAnsi="Century Gothic" w:cs="Arial"/>
                <w:bCs/>
                <w:color w:val="595959" w:themeColor="text1" w:themeTint="A6"/>
                <w:sz w:val="28"/>
                <w:szCs w:val="28"/>
              </w:rPr>
            </w:pPr>
            <w:r>
              <w:rPr>
                <w:rFonts w:ascii="Century Gothic" w:hAnsi="Century Gothic"/>
                <w:color w:val="595959" w:themeColor="text1" w:themeTint="A6"/>
                <w:sz w:val="28"/>
              </w:rPr>
              <w:t>ANALYSE SWOT</w:t>
            </w:r>
          </w:p>
        </w:tc>
        <w:tc>
          <w:tcPr>
            <w:tcW w:w="7109" w:type="dxa"/>
            <w:vAlign w:val="center"/>
          </w:tcPr>
          <w:p w14:paraId="6394DA35" w14:textId="46FE7607" w:rsidR="00E75CF6" w:rsidRPr="00E75CF6" w:rsidRDefault="00E75CF6" w:rsidP="00E75CF6">
            <w:pPr>
              <w:rPr>
                <w:rFonts w:ascii="Century Gothic" w:hAnsi="Century Gothic" w:cs="Arial"/>
                <w:bCs/>
                <w:color w:val="595959" w:themeColor="text1" w:themeTint="A6"/>
                <w:sz w:val="20"/>
                <w:szCs w:val="20"/>
              </w:rPr>
            </w:pPr>
            <w:r>
              <w:rPr>
                <w:rFonts w:ascii="Century Gothic" w:hAnsi="Century Gothic"/>
                <w:b/>
                <w:color w:val="595959" w:themeColor="text1" w:themeTint="A6"/>
                <w:sz w:val="20"/>
              </w:rPr>
              <w:t>Forces</w:t>
            </w:r>
            <w:r>
              <w:rPr>
                <w:rFonts w:ascii="Century Gothic" w:hAnsi="Century Gothic"/>
                <w:color w:val="595959" w:themeColor="text1" w:themeTint="A6"/>
                <w:sz w:val="20"/>
              </w:rPr>
              <w:t> : technologie avancée de recharge des VE et partenariats solides avec des entreprises de logistique.</w:t>
            </w:r>
          </w:p>
          <w:p w14:paraId="60840DBA" w14:textId="1F5762B6" w:rsidR="00E75CF6" w:rsidRPr="00E75CF6" w:rsidRDefault="00E75CF6" w:rsidP="00E75CF6">
            <w:pPr>
              <w:rPr>
                <w:rFonts w:ascii="Century Gothic" w:hAnsi="Century Gothic" w:cs="Arial"/>
                <w:bCs/>
                <w:color w:val="595959" w:themeColor="text1" w:themeTint="A6"/>
                <w:sz w:val="20"/>
                <w:szCs w:val="20"/>
              </w:rPr>
            </w:pPr>
            <w:r>
              <w:rPr>
                <w:rFonts w:ascii="Century Gothic" w:hAnsi="Century Gothic"/>
                <w:b/>
                <w:color w:val="595959" w:themeColor="text1" w:themeTint="A6"/>
                <w:sz w:val="20"/>
              </w:rPr>
              <w:t>Faiblesses</w:t>
            </w:r>
            <w:r>
              <w:rPr>
                <w:rFonts w:ascii="Century Gothic" w:hAnsi="Century Gothic"/>
                <w:color w:val="595959" w:themeColor="text1" w:themeTint="A6"/>
                <w:sz w:val="20"/>
              </w:rPr>
              <w:t> : coûts de mise en place initiaux élevés et couverture limitée dans les zones rurales.</w:t>
            </w:r>
          </w:p>
          <w:p w14:paraId="450F76AE" w14:textId="1056C595" w:rsidR="00E75CF6" w:rsidRPr="00E75CF6" w:rsidRDefault="00E75CF6" w:rsidP="00E75CF6">
            <w:pPr>
              <w:rPr>
                <w:rFonts w:ascii="Century Gothic" w:hAnsi="Century Gothic" w:cs="Arial"/>
                <w:bCs/>
                <w:color w:val="595959" w:themeColor="text1" w:themeTint="A6"/>
                <w:sz w:val="20"/>
                <w:szCs w:val="20"/>
              </w:rPr>
            </w:pPr>
            <w:r>
              <w:rPr>
                <w:rFonts w:ascii="Century Gothic" w:hAnsi="Century Gothic"/>
                <w:b/>
                <w:color w:val="595959" w:themeColor="text1" w:themeTint="A6"/>
                <w:sz w:val="20"/>
              </w:rPr>
              <w:t>Opportunités</w:t>
            </w:r>
            <w:r>
              <w:rPr>
                <w:rFonts w:ascii="Century Gothic" w:hAnsi="Century Gothic"/>
                <w:color w:val="595959" w:themeColor="text1" w:themeTint="A6"/>
                <w:sz w:val="20"/>
              </w:rPr>
              <w:t> : demande croissante en matière de véhicules électriques et incitations gouvernementales à l’énergie verte.</w:t>
            </w:r>
          </w:p>
          <w:p w14:paraId="532B0D15" w14:textId="35E10E17" w:rsidR="00AB771A" w:rsidRPr="002F57EE" w:rsidRDefault="00E75CF6" w:rsidP="00E75CF6">
            <w:pPr>
              <w:rPr>
                <w:rFonts w:ascii="Century Gothic" w:hAnsi="Century Gothic" w:cs="Arial"/>
                <w:bCs/>
                <w:color w:val="595959" w:themeColor="text1" w:themeTint="A6"/>
                <w:sz w:val="20"/>
                <w:szCs w:val="20"/>
              </w:rPr>
            </w:pPr>
            <w:r>
              <w:rPr>
                <w:rFonts w:ascii="Century Gothic" w:hAnsi="Century Gothic"/>
                <w:b/>
                <w:color w:val="595959" w:themeColor="text1" w:themeTint="A6"/>
                <w:sz w:val="20"/>
              </w:rPr>
              <w:t>Menaces</w:t>
            </w:r>
            <w:r>
              <w:rPr>
                <w:rFonts w:ascii="Century Gothic" w:hAnsi="Century Gothic"/>
                <w:color w:val="595959" w:themeColor="text1" w:themeTint="A6"/>
                <w:sz w:val="20"/>
              </w:rPr>
              <w:t> : concurrence intense et obsolescence technologique.</w:t>
            </w:r>
          </w:p>
        </w:tc>
      </w:tr>
      <w:tr w:rsidR="00AB771A" w14:paraId="25998D68" w14:textId="77777777" w:rsidTr="00A24455">
        <w:trPr>
          <w:trHeight w:val="1101"/>
        </w:trPr>
        <w:tc>
          <w:tcPr>
            <w:tcW w:w="715" w:type="dxa"/>
            <w:shd w:val="clear" w:color="auto" w:fill="E2E23A"/>
            <w:vAlign w:val="center"/>
          </w:tcPr>
          <w:p w14:paraId="24A86186" w14:textId="7D130CDF" w:rsidR="00AB771A" w:rsidRPr="002F57EE" w:rsidRDefault="00AB771A" w:rsidP="00AB771A">
            <w:pPr>
              <w:jc w:val="center"/>
              <w:rPr>
                <w:rFonts w:ascii="Century Gothic" w:hAnsi="Century Gothic" w:cs="Arial"/>
                <w:bCs/>
                <w:color w:val="595959" w:themeColor="text1" w:themeTint="A6"/>
                <w:sz w:val="28"/>
                <w:szCs w:val="28"/>
              </w:rPr>
            </w:pPr>
            <w:r>
              <w:rPr>
                <w:rFonts w:ascii="Century Gothic" w:hAnsi="Century Gothic"/>
                <w:color w:val="595959" w:themeColor="text1" w:themeTint="A6"/>
                <w:sz w:val="28"/>
              </w:rPr>
              <w:t>5</w:t>
            </w:r>
          </w:p>
        </w:tc>
        <w:tc>
          <w:tcPr>
            <w:tcW w:w="2966" w:type="dxa"/>
            <w:shd w:val="clear" w:color="auto" w:fill="FAF9D3"/>
            <w:vAlign w:val="center"/>
          </w:tcPr>
          <w:p w14:paraId="6AB221DA" w14:textId="6318304F" w:rsidR="00AB771A" w:rsidRPr="00AB771A" w:rsidRDefault="00AB771A">
            <w:pPr>
              <w:rPr>
                <w:rFonts w:ascii="Century Gothic" w:hAnsi="Century Gothic" w:cs="Arial"/>
                <w:bCs/>
                <w:color w:val="595959" w:themeColor="text1" w:themeTint="A6"/>
                <w:sz w:val="28"/>
                <w:szCs w:val="28"/>
              </w:rPr>
            </w:pPr>
            <w:r>
              <w:rPr>
                <w:rFonts w:ascii="Century Gothic" w:hAnsi="Century Gothic"/>
                <w:color w:val="595959" w:themeColor="text1" w:themeTint="A6"/>
                <w:sz w:val="28"/>
              </w:rPr>
              <w:t>OBJECTIFS INTERMÉDIAIRES STRATÉGIQUES</w:t>
            </w:r>
          </w:p>
        </w:tc>
        <w:tc>
          <w:tcPr>
            <w:tcW w:w="7109" w:type="dxa"/>
            <w:vAlign w:val="center"/>
          </w:tcPr>
          <w:p w14:paraId="4EC98FAC" w14:textId="427D07E5" w:rsidR="00AB771A" w:rsidRPr="002F57EE" w:rsidRDefault="00E75CF6">
            <w:pPr>
              <w:rPr>
                <w:rFonts w:ascii="Century Gothic" w:hAnsi="Century Gothic" w:cs="Arial"/>
                <w:bCs/>
                <w:color w:val="595959" w:themeColor="text1" w:themeTint="A6"/>
                <w:sz w:val="20"/>
                <w:szCs w:val="20"/>
              </w:rPr>
            </w:pPr>
            <w:r>
              <w:rPr>
                <w:rFonts w:ascii="Century Gothic" w:hAnsi="Century Gothic"/>
                <w:color w:val="595959" w:themeColor="text1" w:themeTint="A6"/>
                <w:sz w:val="20"/>
              </w:rPr>
              <w:t>Étendre notre réseau de recharge de VE de 50 % dans les zones urbaines et établir 20 nouveaux partenariats stratégiques avec des entreprises de logistique d’ici 20XX.</w:t>
            </w:r>
          </w:p>
        </w:tc>
      </w:tr>
      <w:tr w:rsidR="00AB771A" w14:paraId="72D68918" w14:textId="77777777" w:rsidTr="00A24455">
        <w:trPr>
          <w:trHeight w:val="835"/>
        </w:trPr>
        <w:tc>
          <w:tcPr>
            <w:tcW w:w="715" w:type="dxa"/>
            <w:shd w:val="clear" w:color="auto" w:fill="E2E23A"/>
            <w:vAlign w:val="center"/>
          </w:tcPr>
          <w:p w14:paraId="47EED185" w14:textId="5EE1BBF9" w:rsidR="00AB771A" w:rsidRPr="002F57EE" w:rsidRDefault="00AB771A" w:rsidP="00AB771A">
            <w:pPr>
              <w:jc w:val="center"/>
              <w:rPr>
                <w:rFonts w:ascii="Century Gothic" w:hAnsi="Century Gothic" w:cs="Arial"/>
                <w:bCs/>
                <w:color w:val="595959" w:themeColor="text1" w:themeTint="A6"/>
                <w:sz w:val="28"/>
                <w:szCs w:val="28"/>
              </w:rPr>
            </w:pPr>
            <w:r>
              <w:rPr>
                <w:rFonts w:ascii="Century Gothic" w:hAnsi="Century Gothic"/>
                <w:color w:val="595959" w:themeColor="text1" w:themeTint="A6"/>
                <w:sz w:val="28"/>
              </w:rPr>
              <w:t>6</w:t>
            </w:r>
          </w:p>
        </w:tc>
        <w:tc>
          <w:tcPr>
            <w:tcW w:w="2966" w:type="dxa"/>
            <w:shd w:val="clear" w:color="auto" w:fill="FAF9D3"/>
            <w:vAlign w:val="center"/>
          </w:tcPr>
          <w:p w14:paraId="2FE8C03F" w14:textId="3DEF741D" w:rsidR="00AB771A" w:rsidRPr="00AB771A" w:rsidRDefault="00AB771A">
            <w:pPr>
              <w:rPr>
                <w:rFonts w:ascii="Century Gothic" w:hAnsi="Century Gothic" w:cs="Arial"/>
                <w:bCs/>
                <w:color w:val="595959" w:themeColor="text1" w:themeTint="A6"/>
                <w:sz w:val="28"/>
                <w:szCs w:val="28"/>
              </w:rPr>
            </w:pPr>
            <w:r>
              <w:rPr>
                <w:rFonts w:ascii="Century Gothic" w:hAnsi="Century Gothic"/>
                <w:color w:val="595959" w:themeColor="text1" w:themeTint="A6"/>
                <w:sz w:val="28"/>
              </w:rPr>
              <w:t>STRATÉGIES CLÉS</w:t>
            </w:r>
          </w:p>
        </w:tc>
        <w:tc>
          <w:tcPr>
            <w:tcW w:w="7109" w:type="dxa"/>
            <w:vAlign w:val="center"/>
          </w:tcPr>
          <w:p w14:paraId="0F23FE11" w14:textId="01BB80E5" w:rsidR="00AB771A" w:rsidRPr="002F57EE" w:rsidRDefault="00E936FD">
            <w:pPr>
              <w:rPr>
                <w:rFonts w:ascii="Century Gothic" w:hAnsi="Century Gothic" w:cs="Arial"/>
                <w:bCs/>
                <w:color w:val="595959" w:themeColor="text1" w:themeTint="A6"/>
                <w:sz w:val="20"/>
                <w:szCs w:val="20"/>
              </w:rPr>
            </w:pPr>
            <w:r>
              <w:rPr>
                <w:rFonts w:ascii="Century Gothic" w:hAnsi="Century Gothic"/>
                <w:color w:val="595959" w:themeColor="text1" w:themeTint="A6"/>
                <w:sz w:val="20"/>
              </w:rPr>
              <w:t>Investir dans des technologies de recharge de pointe, tirer parti de l’analyse des données pour optimiser la logistique et améliorer l’engagement des clients grâce à des plateformes numériques.</w:t>
            </w:r>
          </w:p>
        </w:tc>
      </w:tr>
      <w:tr w:rsidR="00AB771A" w14:paraId="12845004" w14:textId="77777777" w:rsidTr="00A24455">
        <w:trPr>
          <w:trHeight w:val="1073"/>
        </w:trPr>
        <w:tc>
          <w:tcPr>
            <w:tcW w:w="715" w:type="dxa"/>
            <w:shd w:val="clear" w:color="auto" w:fill="E2E23A"/>
            <w:vAlign w:val="center"/>
          </w:tcPr>
          <w:p w14:paraId="2B566364" w14:textId="14F52E21" w:rsidR="00AB771A" w:rsidRPr="002F57EE" w:rsidRDefault="00AB771A" w:rsidP="00AB771A">
            <w:pPr>
              <w:jc w:val="center"/>
              <w:rPr>
                <w:rFonts w:ascii="Century Gothic" w:hAnsi="Century Gothic" w:cs="Arial"/>
                <w:bCs/>
                <w:color w:val="595959" w:themeColor="text1" w:themeTint="A6"/>
                <w:sz w:val="28"/>
                <w:szCs w:val="28"/>
              </w:rPr>
            </w:pPr>
            <w:r>
              <w:rPr>
                <w:rFonts w:ascii="Century Gothic" w:hAnsi="Century Gothic"/>
                <w:color w:val="595959" w:themeColor="text1" w:themeTint="A6"/>
                <w:sz w:val="28"/>
              </w:rPr>
              <w:t>7</w:t>
            </w:r>
          </w:p>
        </w:tc>
        <w:tc>
          <w:tcPr>
            <w:tcW w:w="2966" w:type="dxa"/>
            <w:shd w:val="clear" w:color="auto" w:fill="FAF9D3"/>
            <w:vAlign w:val="center"/>
          </w:tcPr>
          <w:p w14:paraId="2C2FCEF8" w14:textId="27FC6A2A" w:rsidR="00AB771A" w:rsidRPr="00AB771A" w:rsidRDefault="00AB771A">
            <w:pPr>
              <w:rPr>
                <w:rFonts w:ascii="Century Gothic" w:hAnsi="Century Gothic" w:cs="Arial"/>
                <w:bCs/>
                <w:color w:val="595959" w:themeColor="text1" w:themeTint="A6"/>
                <w:sz w:val="28"/>
                <w:szCs w:val="28"/>
              </w:rPr>
            </w:pPr>
            <w:r>
              <w:rPr>
                <w:rFonts w:ascii="Century Gothic" w:hAnsi="Century Gothic"/>
                <w:color w:val="595959" w:themeColor="text1" w:themeTint="A6"/>
                <w:sz w:val="28"/>
              </w:rPr>
              <w:t>PLANS D’ACTION</w:t>
            </w:r>
          </w:p>
        </w:tc>
        <w:tc>
          <w:tcPr>
            <w:tcW w:w="7109" w:type="dxa"/>
            <w:vAlign w:val="center"/>
          </w:tcPr>
          <w:p w14:paraId="35A72646" w14:textId="19962884" w:rsidR="00E936FD" w:rsidRPr="00E936FD" w:rsidRDefault="00E936FD" w:rsidP="00E936FD">
            <w:pPr>
              <w:rPr>
                <w:rFonts w:ascii="Century Gothic" w:hAnsi="Century Gothic" w:cs="Arial"/>
                <w:bCs/>
                <w:color w:val="595959" w:themeColor="text1" w:themeTint="A6"/>
                <w:sz w:val="20"/>
                <w:szCs w:val="20"/>
              </w:rPr>
            </w:pPr>
            <w:r>
              <w:rPr>
                <w:rFonts w:ascii="Century Gothic" w:hAnsi="Century Gothic"/>
                <w:color w:val="595959" w:themeColor="text1" w:themeTint="A6"/>
                <w:sz w:val="20"/>
              </w:rPr>
              <w:t>Déployer 100 nouvelles bornes de recharge rapide dans les principaux centres urbains d’ici le 3e trimestre 20XX.</w:t>
            </w:r>
          </w:p>
          <w:p w14:paraId="4123B930" w14:textId="13B27652" w:rsidR="00AB771A" w:rsidRPr="002F57EE" w:rsidRDefault="00E936FD" w:rsidP="00E936FD">
            <w:pPr>
              <w:rPr>
                <w:rFonts w:ascii="Century Gothic" w:hAnsi="Century Gothic" w:cs="Arial"/>
                <w:bCs/>
                <w:color w:val="595959" w:themeColor="text1" w:themeTint="A6"/>
                <w:sz w:val="20"/>
                <w:szCs w:val="20"/>
              </w:rPr>
            </w:pPr>
            <w:r>
              <w:rPr>
                <w:rFonts w:ascii="Century Gothic" w:hAnsi="Century Gothic"/>
                <w:color w:val="595959" w:themeColor="text1" w:themeTint="A6"/>
                <w:sz w:val="20"/>
              </w:rPr>
              <w:t>Élaborer un programme de partenariat pour les entreprises de logistique d’ici le 1er trimestre 20XX.</w:t>
            </w:r>
          </w:p>
        </w:tc>
      </w:tr>
      <w:tr w:rsidR="00AB771A" w14:paraId="387CE506" w14:textId="77777777" w:rsidTr="00A24455">
        <w:trPr>
          <w:trHeight w:val="1087"/>
        </w:trPr>
        <w:tc>
          <w:tcPr>
            <w:tcW w:w="715" w:type="dxa"/>
            <w:shd w:val="clear" w:color="auto" w:fill="E2E23A"/>
            <w:vAlign w:val="center"/>
          </w:tcPr>
          <w:p w14:paraId="78FE5A4E" w14:textId="1CF76655" w:rsidR="00AB771A" w:rsidRPr="002F57EE" w:rsidRDefault="00AB771A" w:rsidP="00AB771A">
            <w:pPr>
              <w:jc w:val="center"/>
              <w:rPr>
                <w:rFonts w:ascii="Century Gothic" w:hAnsi="Century Gothic" w:cs="Arial"/>
                <w:bCs/>
                <w:color w:val="595959" w:themeColor="text1" w:themeTint="A6"/>
                <w:sz w:val="28"/>
                <w:szCs w:val="28"/>
              </w:rPr>
            </w:pPr>
            <w:r>
              <w:rPr>
                <w:rFonts w:ascii="Century Gothic" w:hAnsi="Century Gothic"/>
                <w:color w:val="595959" w:themeColor="text1" w:themeTint="A6"/>
                <w:sz w:val="28"/>
              </w:rPr>
              <w:t>8</w:t>
            </w:r>
          </w:p>
        </w:tc>
        <w:tc>
          <w:tcPr>
            <w:tcW w:w="2966" w:type="dxa"/>
            <w:shd w:val="clear" w:color="auto" w:fill="FAF9D3"/>
            <w:vAlign w:val="center"/>
          </w:tcPr>
          <w:p w14:paraId="50DB4CA9" w14:textId="18A0DA75" w:rsidR="00AB771A" w:rsidRPr="00AB771A" w:rsidRDefault="00AB771A">
            <w:pPr>
              <w:rPr>
                <w:rFonts w:ascii="Century Gothic" w:hAnsi="Century Gothic" w:cs="Arial"/>
                <w:bCs/>
                <w:color w:val="595959" w:themeColor="text1" w:themeTint="A6"/>
                <w:sz w:val="28"/>
                <w:szCs w:val="28"/>
              </w:rPr>
            </w:pPr>
            <w:r>
              <w:rPr>
                <w:rFonts w:ascii="Century Gothic" w:hAnsi="Century Gothic"/>
                <w:color w:val="595959" w:themeColor="text1" w:themeTint="A6"/>
                <w:sz w:val="28"/>
              </w:rPr>
              <w:t>INDICATEURS CLÉS DE PERFORMANCE (KPI)</w:t>
            </w:r>
          </w:p>
        </w:tc>
        <w:tc>
          <w:tcPr>
            <w:tcW w:w="7109" w:type="dxa"/>
            <w:vAlign w:val="center"/>
          </w:tcPr>
          <w:p w14:paraId="0818BFA5" w14:textId="529B001E" w:rsidR="00AB771A" w:rsidRPr="002F57EE" w:rsidRDefault="00DB2926">
            <w:pPr>
              <w:rPr>
                <w:rFonts w:ascii="Century Gothic" w:hAnsi="Century Gothic" w:cs="Arial"/>
                <w:bCs/>
                <w:color w:val="595959" w:themeColor="text1" w:themeTint="A6"/>
                <w:sz w:val="20"/>
                <w:szCs w:val="20"/>
              </w:rPr>
            </w:pPr>
            <w:r>
              <w:rPr>
                <w:rFonts w:ascii="Century Gothic" w:hAnsi="Century Gothic"/>
                <w:color w:val="595959" w:themeColor="text1" w:themeTint="A6"/>
                <w:sz w:val="20"/>
              </w:rPr>
              <w:t>Augmentation de 40 % de l’utilisation des stations, augmentation de 25 % des partenaires entreprises de logistique et augmentation de 30 % des scores de satisfaction client d’ici 20XX.</w:t>
            </w:r>
          </w:p>
        </w:tc>
      </w:tr>
      <w:tr w:rsidR="00AB771A" w14:paraId="5FBCDD87" w14:textId="77777777" w:rsidTr="00A24455">
        <w:trPr>
          <w:trHeight w:val="849"/>
        </w:trPr>
        <w:tc>
          <w:tcPr>
            <w:tcW w:w="715" w:type="dxa"/>
            <w:shd w:val="clear" w:color="auto" w:fill="E2E23A"/>
            <w:vAlign w:val="center"/>
          </w:tcPr>
          <w:p w14:paraId="2A6AE6FB" w14:textId="5A1D8326" w:rsidR="00AB771A" w:rsidRPr="002F57EE" w:rsidRDefault="00AB771A" w:rsidP="00AB771A">
            <w:pPr>
              <w:jc w:val="center"/>
              <w:rPr>
                <w:rFonts w:ascii="Century Gothic" w:hAnsi="Century Gothic" w:cs="Arial"/>
                <w:bCs/>
                <w:color w:val="595959" w:themeColor="text1" w:themeTint="A6"/>
                <w:sz w:val="28"/>
                <w:szCs w:val="28"/>
              </w:rPr>
            </w:pPr>
            <w:r>
              <w:rPr>
                <w:rFonts w:ascii="Century Gothic" w:hAnsi="Century Gothic"/>
                <w:color w:val="595959" w:themeColor="text1" w:themeTint="A6"/>
                <w:sz w:val="28"/>
              </w:rPr>
              <w:t>9</w:t>
            </w:r>
          </w:p>
        </w:tc>
        <w:tc>
          <w:tcPr>
            <w:tcW w:w="2966" w:type="dxa"/>
            <w:shd w:val="clear" w:color="auto" w:fill="FAF9D3"/>
            <w:vAlign w:val="center"/>
          </w:tcPr>
          <w:p w14:paraId="622BEFD1" w14:textId="29BCC5D2" w:rsidR="00AB771A" w:rsidRPr="00AB771A" w:rsidRDefault="00AB771A">
            <w:pPr>
              <w:rPr>
                <w:rFonts w:ascii="Century Gothic" w:hAnsi="Century Gothic" w:cs="Arial"/>
                <w:bCs/>
                <w:color w:val="595959" w:themeColor="text1" w:themeTint="A6"/>
                <w:sz w:val="28"/>
                <w:szCs w:val="28"/>
              </w:rPr>
            </w:pPr>
            <w:r>
              <w:rPr>
                <w:rFonts w:ascii="Century Gothic" w:hAnsi="Century Gothic"/>
                <w:color w:val="595959" w:themeColor="text1" w:themeTint="A6"/>
                <w:sz w:val="28"/>
              </w:rPr>
              <w:t>PROJECTIONS FINANCIÈRES</w:t>
            </w:r>
          </w:p>
        </w:tc>
        <w:tc>
          <w:tcPr>
            <w:tcW w:w="7109" w:type="dxa"/>
            <w:vAlign w:val="center"/>
          </w:tcPr>
          <w:p w14:paraId="4A9C0D73" w14:textId="2DB8FD63" w:rsidR="00AB771A" w:rsidRPr="002F57EE" w:rsidRDefault="008B4BF2">
            <w:pPr>
              <w:rPr>
                <w:rFonts w:ascii="Century Gothic" w:hAnsi="Century Gothic" w:cs="Arial"/>
                <w:bCs/>
                <w:color w:val="595959" w:themeColor="text1" w:themeTint="A6"/>
                <w:sz w:val="20"/>
                <w:szCs w:val="20"/>
              </w:rPr>
            </w:pPr>
            <w:r>
              <w:rPr>
                <w:rFonts w:ascii="Century Gothic" w:hAnsi="Century Gothic"/>
                <w:color w:val="595959" w:themeColor="text1" w:themeTint="A6"/>
                <w:sz w:val="20"/>
              </w:rPr>
              <w:t>Nous prévoyons une augmentation de 35 % des revenus grâce à l’expansion stratégique et aux partenariats, tout en maintenant une marge bénéficiaire nette de 20 % d’ici 20XX.</w:t>
            </w:r>
          </w:p>
        </w:tc>
      </w:tr>
      <w:tr w:rsidR="00AB771A" w14:paraId="5A61FA1E" w14:textId="77777777" w:rsidTr="00A24455">
        <w:trPr>
          <w:trHeight w:val="906"/>
        </w:trPr>
        <w:tc>
          <w:tcPr>
            <w:tcW w:w="715" w:type="dxa"/>
            <w:shd w:val="clear" w:color="auto" w:fill="E2E23A"/>
            <w:vAlign w:val="center"/>
          </w:tcPr>
          <w:p w14:paraId="6B8B5B55" w14:textId="7BC56A52" w:rsidR="00AB771A" w:rsidRPr="002F57EE" w:rsidRDefault="00AB771A" w:rsidP="00A24455">
            <w:pPr>
              <w:jc w:val="center"/>
              <w:rPr>
                <w:rFonts w:ascii="Century Gothic" w:hAnsi="Century Gothic" w:cs="Arial"/>
                <w:bCs/>
                <w:color w:val="595959" w:themeColor="text1" w:themeTint="A6"/>
                <w:sz w:val="28"/>
                <w:szCs w:val="28"/>
              </w:rPr>
            </w:pPr>
            <w:r>
              <w:rPr>
                <w:rFonts w:ascii="Century Gothic" w:hAnsi="Century Gothic"/>
                <w:color w:val="595959" w:themeColor="text1" w:themeTint="A6"/>
                <w:sz w:val="28"/>
              </w:rPr>
              <w:t>10</w:t>
            </w:r>
          </w:p>
        </w:tc>
        <w:tc>
          <w:tcPr>
            <w:tcW w:w="2966" w:type="dxa"/>
            <w:shd w:val="clear" w:color="auto" w:fill="FAF9D3"/>
            <w:vAlign w:val="center"/>
          </w:tcPr>
          <w:p w14:paraId="5C3BBD2B" w14:textId="47FDC689" w:rsidR="00AB771A" w:rsidRPr="00AB771A" w:rsidRDefault="00AB771A" w:rsidP="00A24455">
            <w:pPr>
              <w:rPr>
                <w:rFonts w:ascii="Century Gothic" w:hAnsi="Century Gothic" w:cs="Arial"/>
                <w:bCs/>
                <w:color w:val="595959" w:themeColor="text1" w:themeTint="A6"/>
                <w:sz w:val="28"/>
                <w:szCs w:val="28"/>
              </w:rPr>
            </w:pPr>
            <w:r>
              <w:rPr>
                <w:rFonts w:ascii="Century Gothic" w:hAnsi="Century Gothic"/>
                <w:color w:val="595959" w:themeColor="text1" w:themeTint="A6"/>
                <w:sz w:val="28"/>
              </w:rPr>
              <w:t>MARCHÉS VISÉS</w:t>
            </w:r>
          </w:p>
        </w:tc>
        <w:tc>
          <w:tcPr>
            <w:tcW w:w="7109" w:type="dxa"/>
            <w:vAlign w:val="center"/>
          </w:tcPr>
          <w:p w14:paraId="7AD50D09" w14:textId="7A5376CC" w:rsidR="00AB771A" w:rsidRPr="002F57EE" w:rsidRDefault="0097468C" w:rsidP="00A24455">
            <w:pPr>
              <w:rPr>
                <w:rFonts w:ascii="Century Gothic" w:hAnsi="Century Gothic" w:cs="Arial"/>
                <w:bCs/>
                <w:color w:val="595959" w:themeColor="text1" w:themeTint="A6"/>
                <w:sz w:val="20"/>
                <w:szCs w:val="20"/>
              </w:rPr>
            </w:pPr>
            <w:r>
              <w:rPr>
                <w:rFonts w:ascii="Century Gothic" w:hAnsi="Century Gothic"/>
                <w:color w:val="595959" w:themeColor="text1" w:themeTint="A6"/>
                <w:sz w:val="20"/>
              </w:rPr>
              <w:t>Les professionnels et entreprises présents dans les grandes villes à la recherche de solutions de recharge fiables et rapides pour VE et de services logistiques écologiques.</w:t>
            </w:r>
          </w:p>
        </w:tc>
      </w:tr>
      <w:tr w:rsidR="00AB771A" w14:paraId="5FE107B4" w14:textId="77777777" w:rsidTr="00A24455">
        <w:trPr>
          <w:trHeight w:val="1074"/>
        </w:trPr>
        <w:tc>
          <w:tcPr>
            <w:tcW w:w="715" w:type="dxa"/>
            <w:shd w:val="clear" w:color="auto" w:fill="E2E23A"/>
            <w:vAlign w:val="center"/>
          </w:tcPr>
          <w:p w14:paraId="7BC547CE" w14:textId="3954EB9B" w:rsidR="00AB771A" w:rsidRPr="002F57EE" w:rsidRDefault="00AB771A" w:rsidP="00AB771A">
            <w:pPr>
              <w:jc w:val="center"/>
              <w:rPr>
                <w:rFonts w:ascii="Century Gothic" w:hAnsi="Century Gothic" w:cs="Arial"/>
                <w:bCs/>
                <w:color w:val="595959" w:themeColor="text1" w:themeTint="A6"/>
                <w:sz w:val="28"/>
                <w:szCs w:val="28"/>
              </w:rPr>
            </w:pPr>
            <w:r>
              <w:rPr>
                <w:rFonts w:ascii="Century Gothic" w:hAnsi="Century Gothic"/>
                <w:color w:val="595959" w:themeColor="text1" w:themeTint="A6"/>
                <w:sz w:val="28"/>
              </w:rPr>
              <w:t>11</w:t>
            </w:r>
          </w:p>
        </w:tc>
        <w:tc>
          <w:tcPr>
            <w:tcW w:w="2966" w:type="dxa"/>
            <w:shd w:val="clear" w:color="auto" w:fill="FAF9D3"/>
            <w:vAlign w:val="center"/>
          </w:tcPr>
          <w:p w14:paraId="5A60B427" w14:textId="688CF2B1" w:rsidR="00AB771A" w:rsidRPr="00AB771A" w:rsidRDefault="00AB771A">
            <w:pPr>
              <w:rPr>
                <w:rFonts w:ascii="Century Gothic" w:hAnsi="Century Gothic" w:cs="Arial"/>
                <w:bCs/>
                <w:color w:val="595959" w:themeColor="text1" w:themeTint="A6"/>
                <w:sz w:val="28"/>
                <w:szCs w:val="28"/>
              </w:rPr>
            </w:pPr>
            <w:r>
              <w:rPr>
                <w:rFonts w:ascii="Century Gothic" w:hAnsi="Century Gothic"/>
                <w:color w:val="595959" w:themeColor="text1" w:themeTint="A6"/>
                <w:sz w:val="28"/>
              </w:rPr>
              <w:t>AVANTAGE CONCURRENTIEL</w:t>
            </w:r>
          </w:p>
        </w:tc>
        <w:tc>
          <w:tcPr>
            <w:tcW w:w="7109" w:type="dxa"/>
            <w:vAlign w:val="center"/>
          </w:tcPr>
          <w:p w14:paraId="4AEC21FF" w14:textId="1E683DA3" w:rsidR="00AB771A" w:rsidRPr="002F57EE" w:rsidRDefault="00FC354C">
            <w:pPr>
              <w:rPr>
                <w:rFonts w:ascii="Century Gothic" w:hAnsi="Century Gothic" w:cs="Arial"/>
                <w:bCs/>
                <w:color w:val="595959" w:themeColor="text1" w:themeTint="A6"/>
                <w:sz w:val="20"/>
                <w:szCs w:val="20"/>
              </w:rPr>
            </w:pPr>
            <w:r>
              <w:rPr>
                <w:rFonts w:ascii="Century Gothic" w:hAnsi="Century Gothic"/>
                <w:color w:val="595959" w:themeColor="text1" w:themeTint="A6"/>
                <w:sz w:val="20"/>
              </w:rPr>
              <w:t>Notre combinaison unique de technologie avancée de recharge rapide et d’assistance logistique intégrée distingue Positive Charge, offrant une commodité et une efficacité inégalées pour les utilisateurs et les entreprises de véhicules électriques urbains.</w:t>
            </w:r>
          </w:p>
        </w:tc>
      </w:tr>
    </w:tbl>
    <w:p w14:paraId="5A2235C9" w14:textId="04D6CB89" w:rsidR="00AC5287" w:rsidRPr="00AB771A" w:rsidRDefault="008E3A9E" w:rsidP="00AC5287">
      <w:pPr>
        <w:pStyle w:val="Header"/>
        <w:rPr>
          <w:rFonts w:ascii="Century Gothic" w:hAnsi="Century Gothic" w:cs="Arial"/>
          <w:b/>
          <w:color w:val="A6A6A6" w:themeColor="background1" w:themeShade="A6"/>
          <w:sz w:val="44"/>
          <w:szCs w:val="44"/>
        </w:rPr>
      </w:pPr>
      <w:r w:rsidRPr="00AB771A">
        <w:rPr>
          <w:rFonts w:ascii="Century Gothic" w:hAnsi="Century Gothic"/>
          <w:b/>
          <w:color w:val="A6A6A6" w:themeColor="background1" w:themeShade="A6"/>
          <w:sz w:val="44"/>
          <w:szCs w:val="44"/>
        </w:rPr>
        <w:lastRenderedPageBreak/>
        <w:tab/>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41741" w14:paraId="0C41C656" w14:textId="77777777" w:rsidTr="00A24455">
        <w:trPr>
          <w:trHeight w:val="3320"/>
        </w:trPr>
        <w:tc>
          <w:tcPr>
            <w:tcW w:w="10669" w:type="dxa"/>
          </w:tcPr>
          <w:p w14:paraId="18C6AA7B" w14:textId="77777777" w:rsidR="00692C04" w:rsidRPr="00692C04" w:rsidRDefault="00692C04" w:rsidP="00692C04">
            <w:pPr>
              <w:jc w:val="center"/>
              <w:rPr>
                <w:rFonts w:ascii="Century Gothic" w:hAnsi="Century Gothic" w:cs="Arial"/>
                <w:b/>
                <w:sz w:val="20"/>
                <w:szCs w:val="20"/>
              </w:rPr>
            </w:pPr>
            <w:r>
              <w:rPr>
                <w:rFonts w:ascii="Century Gothic" w:hAnsi="Century Gothic"/>
                <w:b/>
                <w:sz w:val="20"/>
              </w:rPr>
              <w:t>EXCLUSION DE RESPONSABILITÉ</w:t>
            </w:r>
          </w:p>
          <w:p w14:paraId="1886EAD5" w14:textId="77777777" w:rsidR="00692C04" w:rsidRDefault="00692C04" w:rsidP="00692C04">
            <w:pPr>
              <w:rPr>
                <w:rFonts w:ascii="Century Gothic" w:hAnsi="Century Gothic" w:cs="Arial"/>
                <w:szCs w:val="20"/>
              </w:rPr>
            </w:pPr>
          </w:p>
          <w:p w14:paraId="0AEB9F0F" w14:textId="77777777" w:rsidR="00641741" w:rsidRDefault="00641741" w:rsidP="00692C04">
            <w:pPr>
              <w:rPr>
                <w:rFonts w:ascii="Century Gothic" w:hAnsi="Century Gothic" w:cs="Arial"/>
                <w:sz w:val="20"/>
                <w:szCs w:val="20"/>
              </w:rPr>
            </w:pPr>
            <w:r>
              <w:rPr>
                <w:rFonts w:ascii="Century Gothic" w:hAnsi="Century Gothic"/>
              </w:rPr>
              <w:t>Tous les articles, modèles ou informations fournis par Smartsheet sur le site Web sont uniquement communiqués à titre de référence. Bien que nous nous efforcions de veiller à ce que les informations communiquées soient toujours correctes et à jour,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tc>
      </w:tr>
    </w:tbl>
    <w:p w14:paraId="52629A72" w14:textId="77777777" w:rsidR="00641741" w:rsidRDefault="00641741" w:rsidP="005A3869">
      <w:pPr>
        <w:rPr>
          <w:rFonts w:ascii="Century Gothic" w:hAnsi="Century Gothic" w:cs="Arial"/>
          <w:sz w:val="20"/>
          <w:szCs w:val="20"/>
        </w:rPr>
      </w:pPr>
    </w:p>
    <w:p w14:paraId="2BCBF303" w14:textId="77777777" w:rsidR="005F1785" w:rsidRPr="00D3383E" w:rsidRDefault="005F1785" w:rsidP="005A3869">
      <w:pPr>
        <w:rPr>
          <w:rFonts w:ascii="Century Gothic" w:hAnsi="Century Gothic" w:cs="Arial"/>
          <w:sz w:val="20"/>
          <w:szCs w:val="20"/>
        </w:rPr>
      </w:pPr>
    </w:p>
    <w:sectPr w:rsidR="005F1785" w:rsidRPr="00D3383E" w:rsidSect="00800D2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5B8BD" w14:textId="77777777" w:rsidR="00FC1491" w:rsidRDefault="00FC1491" w:rsidP="00B01A05">
      <w:r>
        <w:separator/>
      </w:r>
    </w:p>
  </w:endnote>
  <w:endnote w:type="continuationSeparator" w:id="0">
    <w:p w14:paraId="1D28C700" w14:textId="77777777" w:rsidR="00FC1491" w:rsidRDefault="00FC1491"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71CEE" w14:textId="77777777" w:rsidR="00FC1491" w:rsidRDefault="00FC1491" w:rsidP="00B01A05">
      <w:r>
        <w:separator/>
      </w:r>
    </w:p>
  </w:footnote>
  <w:footnote w:type="continuationSeparator" w:id="0">
    <w:p w14:paraId="3D31F389" w14:textId="77777777" w:rsidR="00FC1491" w:rsidRDefault="00FC1491"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2"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3"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18"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19"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1"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2"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2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0"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887640633">
    <w:abstractNumId w:val="16"/>
  </w:num>
  <w:num w:numId="2" w16cid:durableId="1127819093">
    <w:abstractNumId w:val="19"/>
  </w:num>
  <w:num w:numId="3" w16cid:durableId="950012417">
    <w:abstractNumId w:val="12"/>
  </w:num>
  <w:num w:numId="4" w16cid:durableId="1153720554">
    <w:abstractNumId w:val="22"/>
  </w:num>
  <w:num w:numId="5" w16cid:durableId="175272434">
    <w:abstractNumId w:val="29"/>
  </w:num>
  <w:num w:numId="6" w16cid:durableId="554008328">
    <w:abstractNumId w:val="5"/>
  </w:num>
  <w:num w:numId="7" w16cid:durableId="581791282">
    <w:abstractNumId w:val="14"/>
  </w:num>
  <w:num w:numId="8" w16cid:durableId="1243103372">
    <w:abstractNumId w:val="3"/>
  </w:num>
  <w:num w:numId="9" w16cid:durableId="86967304">
    <w:abstractNumId w:val="27"/>
  </w:num>
  <w:num w:numId="10" w16cid:durableId="240215351">
    <w:abstractNumId w:val="1"/>
  </w:num>
  <w:num w:numId="11" w16cid:durableId="1898860675">
    <w:abstractNumId w:val="26"/>
  </w:num>
  <w:num w:numId="12" w16cid:durableId="1066146112">
    <w:abstractNumId w:val="28"/>
    <w:lvlOverride w:ilvl="0">
      <w:lvl w:ilvl="0">
        <w:numFmt w:val="upperRoman"/>
        <w:lvlText w:val="%1."/>
        <w:lvlJc w:val="right"/>
      </w:lvl>
    </w:lvlOverride>
  </w:num>
  <w:num w:numId="13" w16cid:durableId="1765687501">
    <w:abstractNumId w:val="2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515001717">
    <w:abstractNumId w:val="23"/>
  </w:num>
  <w:num w:numId="15" w16cid:durableId="841701362">
    <w:abstractNumId w:val="6"/>
  </w:num>
  <w:num w:numId="16" w16cid:durableId="2013947494">
    <w:abstractNumId w:val="7"/>
  </w:num>
  <w:num w:numId="17" w16cid:durableId="394859089">
    <w:abstractNumId w:val="7"/>
  </w:num>
  <w:num w:numId="18" w16cid:durableId="2098478832">
    <w:abstractNumId w:val="11"/>
  </w:num>
  <w:num w:numId="19" w16cid:durableId="1332945760">
    <w:abstractNumId w:val="25"/>
  </w:num>
  <w:num w:numId="20" w16cid:durableId="1198852583">
    <w:abstractNumId w:val="30"/>
  </w:num>
  <w:num w:numId="21" w16cid:durableId="910311966">
    <w:abstractNumId w:val="9"/>
  </w:num>
  <w:num w:numId="22" w16cid:durableId="1917396455">
    <w:abstractNumId w:val="9"/>
  </w:num>
  <w:num w:numId="23" w16cid:durableId="1540823245">
    <w:abstractNumId w:val="15"/>
  </w:num>
  <w:num w:numId="24" w16cid:durableId="834413496">
    <w:abstractNumId w:val="15"/>
  </w:num>
  <w:num w:numId="25" w16cid:durableId="1288387096">
    <w:abstractNumId w:val="13"/>
  </w:num>
  <w:num w:numId="26" w16cid:durableId="1235624384">
    <w:abstractNumId w:val="13"/>
  </w:num>
  <w:num w:numId="27" w16cid:durableId="975835628">
    <w:abstractNumId w:val="8"/>
  </w:num>
  <w:num w:numId="28" w16cid:durableId="1623415530">
    <w:abstractNumId w:val="17"/>
  </w:num>
  <w:num w:numId="29" w16cid:durableId="1999845085">
    <w:abstractNumId w:val="24"/>
  </w:num>
  <w:num w:numId="30" w16cid:durableId="436218804">
    <w:abstractNumId w:val="24"/>
  </w:num>
  <w:num w:numId="31" w16cid:durableId="1155685251">
    <w:abstractNumId w:val="2"/>
  </w:num>
  <w:num w:numId="32" w16cid:durableId="1524124628">
    <w:abstractNumId w:val="18"/>
  </w:num>
  <w:num w:numId="33" w16cid:durableId="401374216">
    <w:abstractNumId w:val="18"/>
  </w:num>
  <w:num w:numId="34" w16cid:durableId="790321270">
    <w:abstractNumId w:val="10"/>
  </w:num>
  <w:num w:numId="35" w16cid:durableId="174613140">
    <w:abstractNumId w:val="4"/>
  </w:num>
  <w:num w:numId="36" w16cid:durableId="344939668">
    <w:abstractNumId w:val="21"/>
  </w:num>
  <w:num w:numId="37" w16cid:durableId="385106992">
    <w:abstractNumId w:val="20"/>
  </w:num>
  <w:num w:numId="38" w16cid:durableId="1438253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1A"/>
    <w:rsid w:val="00043993"/>
    <w:rsid w:val="00044BBF"/>
    <w:rsid w:val="00055227"/>
    <w:rsid w:val="0007196B"/>
    <w:rsid w:val="00074389"/>
    <w:rsid w:val="000809A7"/>
    <w:rsid w:val="000A7AEF"/>
    <w:rsid w:val="000B31AF"/>
    <w:rsid w:val="000C1664"/>
    <w:rsid w:val="000C2B36"/>
    <w:rsid w:val="000C5AA8"/>
    <w:rsid w:val="000D7167"/>
    <w:rsid w:val="0014046B"/>
    <w:rsid w:val="001405DC"/>
    <w:rsid w:val="001433AA"/>
    <w:rsid w:val="0014454F"/>
    <w:rsid w:val="0016761D"/>
    <w:rsid w:val="001756F3"/>
    <w:rsid w:val="0018387F"/>
    <w:rsid w:val="0019557F"/>
    <w:rsid w:val="001977AD"/>
    <w:rsid w:val="001B40AD"/>
    <w:rsid w:val="001D0184"/>
    <w:rsid w:val="001F2768"/>
    <w:rsid w:val="001F69A7"/>
    <w:rsid w:val="002050AC"/>
    <w:rsid w:val="00213767"/>
    <w:rsid w:val="002200FE"/>
    <w:rsid w:val="00243542"/>
    <w:rsid w:val="00244C0D"/>
    <w:rsid w:val="00285971"/>
    <w:rsid w:val="002B44C0"/>
    <w:rsid w:val="002D4552"/>
    <w:rsid w:val="002F57EE"/>
    <w:rsid w:val="003566B4"/>
    <w:rsid w:val="00377594"/>
    <w:rsid w:val="00384D8F"/>
    <w:rsid w:val="00385F26"/>
    <w:rsid w:val="003939B2"/>
    <w:rsid w:val="003A5B09"/>
    <w:rsid w:val="003C0DBC"/>
    <w:rsid w:val="003C7519"/>
    <w:rsid w:val="003F7C1A"/>
    <w:rsid w:val="00404144"/>
    <w:rsid w:val="00413DC8"/>
    <w:rsid w:val="00464788"/>
    <w:rsid w:val="00492C36"/>
    <w:rsid w:val="004961C2"/>
    <w:rsid w:val="00497160"/>
    <w:rsid w:val="00497AB5"/>
    <w:rsid w:val="004A04C6"/>
    <w:rsid w:val="004B21E8"/>
    <w:rsid w:val="004D53F9"/>
    <w:rsid w:val="004D5595"/>
    <w:rsid w:val="005000C9"/>
    <w:rsid w:val="00503EBA"/>
    <w:rsid w:val="005109C3"/>
    <w:rsid w:val="00517F69"/>
    <w:rsid w:val="005276EE"/>
    <w:rsid w:val="00551B20"/>
    <w:rsid w:val="00556DD9"/>
    <w:rsid w:val="005620D4"/>
    <w:rsid w:val="0056421F"/>
    <w:rsid w:val="00572F55"/>
    <w:rsid w:val="005915AC"/>
    <w:rsid w:val="005954C5"/>
    <w:rsid w:val="00597565"/>
    <w:rsid w:val="005A06B3"/>
    <w:rsid w:val="005A14AE"/>
    <w:rsid w:val="005A3869"/>
    <w:rsid w:val="005B29EF"/>
    <w:rsid w:val="005B70D5"/>
    <w:rsid w:val="005D08BE"/>
    <w:rsid w:val="005F1785"/>
    <w:rsid w:val="00622259"/>
    <w:rsid w:val="0062450E"/>
    <w:rsid w:val="00641741"/>
    <w:rsid w:val="00656455"/>
    <w:rsid w:val="00665F5E"/>
    <w:rsid w:val="00666C1E"/>
    <w:rsid w:val="00674F2B"/>
    <w:rsid w:val="006837D4"/>
    <w:rsid w:val="006841E8"/>
    <w:rsid w:val="00691D73"/>
    <w:rsid w:val="00692C04"/>
    <w:rsid w:val="006C6A0C"/>
    <w:rsid w:val="006F1A78"/>
    <w:rsid w:val="006F5384"/>
    <w:rsid w:val="00702DDD"/>
    <w:rsid w:val="00716677"/>
    <w:rsid w:val="00717895"/>
    <w:rsid w:val="00750BF6"/>
    <w:rsid w:val="00761512"/>
    <w:rsid w:val="00762989"/>
    <w:rsid w:val="00763525"/>
    <w:rsid w:val="00781CE1"/>
    <w:rsid w:val="007F70A6"/>
    <w:rsid w:val="00800D2A"/>
    <w:rsid w:val="00811B86"/>
    <w:rsid w:val="0081333F"/>
    <w:rsid w:val="00817DB4"/>
    <w:rsid w:val="00840CF7"/>
    <w:rsid w:val="0086192E"/>
    <w:rsid w:val="008A5C9F"/>
    <w:rsid w:val="008B4BF2"/>
    <w:rsid w:val="008D181F"/>
    <w:rsid w:val="008D1E28"/>
    <w:rsid w:val="008D3809"/>
    <w:rsid w:val="008D4662"/>
    <w:rsid w:val="008E3A9E"/>
    <w:rsid w:val="008F30DF"/>
    <w:rsid w:val="009014B6"/>
    <w:rsid w:val="0091097D"/>
    <w:rsid w:val="009168B2"/>
    <w:rsid w:val="00937B38"/>
    <w:rsid w:val="0097468C"/>
    <w:rsid w:val="009A6136"/>
    <w:rsid w:val="009B354D"/>
    <w:rsid w:val="009D1EDB"/>
    <w:rsid w:val="009E0257"/>
    <w:rsid w:val="009E63D7"/>
    <w:rsid w:val="00A008FD"/>
    <w:rsid w:val="00A044D5"/>
    <w:rsid w:val="00A16323"/>
    <w:rsid w:val="00A1634E"/>
    <w:rsid w:val="00A17074"/>
    <w:rsid w:val="00A24455"/>
    <w:rsid w:val="00A40022"/>
    <w:rsid w:val="00A5039D"/>
    <w:rsid w:val="00A77BCB"/>
    <w:rsid w:val="00AA2BE9"/>
    <w:rsid w:val="00AA5317"/>
    <w:rsid w:val="00AB30F3"/>
    <w:rsid w:val="00AB771A"/>
    <w:rsid w:val="00AC1FED"/>
    <w:rsid w:val="00AC5287"/>
    <w:rsid w:val="00AF39FF"/>
    <w:rsid w:val="00AF6008"/>
    <w:rsid w:val="00B01A05"/>
    <w:rsid w:val="00B300F4"/>
    <w:rsid w:val="00B40948"/>
    <w:rsid w:val="00B50C12"/>
    <w:rsid w:val="00B622FB"/>
    <w:rsid w:val="00B753BF"/>
    <w:rsid w:val="00B90509"/>
    <w:rsid w:val="00BB0C36"/>
    <w:rsid w:val="00BC6821"/>
    <w:rsid w:val="00BF3DE2"/>
    <w:rsid w:val="00BF7662"/>
    <w:rsid w:val="00C44DFA"/>
    <w:rsid w:val="00C45C77"/>
    <w:rsid w:val="00C739B9"/>
    <w:rsid w:val="00C74202"/>
    <w:rsid w:val="00C77741"/>
    <w:rsid w:val="00C80620"/>
    <w:rsid w:val="00CA64DD"/>
    <w:rsid w:val="00CF53DC"/>
    <w:rsid w:val="00D20D28"/>
    <w:rsid w:val="00D3383E"/>
    <w:rsid w:val="00D404D2"/>
    <w:rsid w:val="00D75350"/>
    <w:rsid w:val="00D82800"/>
    <w:rsid w:val="00DB2926"/>
    <w:rsid w:val="00DE6C8B"/>
    <w:rsid w:val="00DF00E4"/>
    <w:rsid w:val="00DF2717"/>
    <w:rsid w:val="00E26AB8"/>
    <w:rsid w:val="00E75CF6"/>
    <w:rsid w:val="00E75D3C"/>
    <w:rsid w:val="00E8526C"/>
    <w:rsid w:val="00E936FD"/>
    <w:rsid w:val="00EB6A86"/>
    <w:rsid w:val="00EE6A02"/>
    <w:rsid w:val="00F157D7"/>
    <w:rsid w:val="00F17080"/>
    <w:rsid w:val="00F36F1D"/>
    <w:rsid w:val="00F54105"/>
    <w:rsid w:val="00F54EB7"/>
    <w:rsid w:val="00F60F1B"/>
    <w:rsid w:val="00F918B4"/>
    <w:rsid w:val="00FB42FA"/>
    <w:rsid w:val="00FB7A35"/>
    <w:rsid w:val="00FC1491"/>
    <w:rsid w:val="00FC3406"/>
    <w:rsid w:val="00FC354C"/>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01DA1"/>
  <w14:defaultImageDpi w14:val="32767"/>
  <w15:docId w15:val="{A572FCAE-1B1F-45F9-BC79-A49356DC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815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2-IC-One-Page-Business-Plan-Template-10787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0FAD46-465C-4949-8588-D0C9C987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ref2-IC-One-Page-Business-Plan-Template-10787_WORD.dotx</Template>
  <TotalTime>12</TotalTime>
  <Pages>2</Pages>
  <Words>548</Words>
  <Characters>3130</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dc:creator>
  <cp:lastModifiedBy>Chris Green</cp:lastModifiedBy>
  <cp:revision>6</cp:revision>
  <cp:lastPrinted>2017-09-15T13:54:00Z</cp:lastPrinted>
  <dcterms:created xsi:type="dcterms:W3CDTF">2024-03-22T19:32:00Z</dcterms:created>
  <dcterms:modified xsi:type="dcterms:W3CDTF">2024-11-13T07:04:00Z</dcterms:modified>
</cp:coreProperties>
</file>