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43761" w14:textId="15F8452A" w:rsidR="007D603C" w:rsidRPr="0025175F" w:rsidRDefault="007D603C">
      <w:pPr>
        <w:rPr>
          <w:rFonts w:ascii="Century Gothic" w:hAnsi="Century Gothic"/>
          <w:sz w:val="16"/>
          <w:szCs w:val="16"/>
        </w:rPr>
      </w:pPr>
    </w:p>
    <w:tbl>
      <w:tblPr>
        <w:tblW w:w="14125" w:type="dxa"/>
        <w:tblInd w:w="5" w:type="dxa"/>
        <w:tblLook w:val="04A0" w:firstRow="1" w:lastRow="0" w:firstColumn="1" w:lastColumn="0" w:noHBand="0" w:noVBand="1"/>
      </w:tblPr>
      <w:tblGrid>
        <w:gridCol w:w="3539"/>
        <w:gridCol w:w="10586"/>
      </w:tblGrid>
      <w:tr w:rsidR="00D315A9" w:rsidRPr="0025175F" w14:paraId="26DE8E0A" w14:textId="77777777" w:rsidTr="000E39FF">
        <w:trPr>
          <w:trHeight w:val="2789"/>
        </w:trPr>
        <w:tc>
          <w:tcPr>
            <w:tcW w:w="14125" w:type="dxa"/>
            <w:gridSpan w:val="2"/>
            <w:tcBorders>
              <w:top w:val="nil"/>
              <w:left w:val="nil"/>
              <w:bottom w:val="nil"/>
              <w:right w:val="nil"/>
            </w:tcBorders>
            <w:shd w:val="clear" w:color="auto" w:fill="auto"/>
            <w:noWrap/>
            <w:vAlign w:val="center"/>
            <w:hideMark/>
          </w:tcPr>
          <w:p w14:paraId="39BA615D" w14:textId="11E897EC" w:rsidR="00D315A9" w:rsidRDefault="000E39FF" w:rsidP="00D315A9">
            <w:pPr>
              <w:rPr>
                <w:rFonts w:ascii="Century Gothic" w:eastAsia="Times New Roman" w:hAnsi="Century Gothic" w:cs="Times New Roman"/>
                <w:b/>
                <w:bCs/>
                <w:color w:val="204559"/>
                <w:sz w:val="38"/>
                <w:szCs w:val="38"/>
              </w:rPr>
            </w:pPr>
            <w:r w:rsidRPr="00360227">
              <w:rPr>
                <w:b/>
                <w:noProof/>
                <w:color w:val="595959" w:themeColor="text1" w:themeTint="A6"/>
                <w:sz w:val="46"/>
                <w:szCs w:val="46"/>
              </w:rPr>
              <w:drawing>
                <wp:anchor distT="0" distB="0" distL="114300" distR="114300" simplePos="0" relativeHeight="251658240" behindDoc="0" locked="0" layoutInCell="1" allowOverlap="1" wp14:anchorId="2881A267" wp14:editId="41ABC924">
                  <wp:simplePos x="0" y="0"/>
                  <wp:positionH relativeFrom="column">
                    <wp:posOffset>6179185</wp:posOffset>
                  </wp:positionH>
                  <wp:positionV relativeFrom="paragraph">
                    <wp:posOffset>80010</wp:posOffset>
                  </wp:positionV>
                  <wp:extent cx="2713990" cy="53975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3990" cy="539750"/>
                          </a:xfrm>
                          <a:prstGeom prst="rect">
                            <a:avLst/>
                          </a:prstGeom>
                        </pic:spPr>
                      </pic:pic>
                    </a:graphicData>
                  </a:graphic>
                  <wp14:sizeRelH relativeFrom="page">
                    <wp14:pctWidth>0</wp14:pctWidth>
                  </wp14:sizeRelH>
                  <wp14:sizeRelV relativeFrom="page">
                    <wp14:pctHeight>0</wp14:pctHeight>
                  </wp14:sizeRelV>
                </wp:anchor>
              </w:drawing>
            </w:r>
            <w:r w:rsidR="008F7A0B">
              <w:rPr>
                <w:rFonts w:ascii="Century Gothic" w:hAnsi="Century Gothic"/>
                <w:b/>
                <w:color w:val="595959" w:themeColor="text1" w:themeTint="A6"/>
                <w:sz w:val="44"/>
              </w:rPr>
              <w:t xml:space="preserve">EXEMPLE DE MODÈLE DE REPRÉSENTATION </w:t>
            </w:r>
            <w:r>
              <w:rPr>
                <w:rFonts w:ascii="Century Gothic" w:hAnsi="Century Gothic"/>
                <w:b/>
                <w:color w:val="595959" w:themeColor="text1" w:themeTint="A6"/>
                <w:sz w:val="44"/>
              </w:rPr>
              <w:br/>
            </w:r>
            <w:r w:rsidR="008F7A0B">
              <w:rPr>
                <w:rFonts w:ascii="Century Gothic" w:hAnsi="Century Gothic"/>
                <w:b/>
                <w:color w:val="595959" w:themeColor="text1" w:themeTint="A6"/>
                <w:sz w:val="44"/>
              </w:rPr>
              <w:t xml:space="preserve">DE PLAN STRATÉGIQUE UNIVERSITAIRE </w:t>
            </w:r>
            <w:r>
              <w:rPr>
                <w:rFonts w:ascii="Century Gothic" w:hAnsi="Century Gothic"/>
                <w:b/>
                <w:color w:val="595959" w:themeColor="text1" w:themeTint="A6"/>
                <w:sz w:val="44"/>
              </w:rPr>
              <w:br/>
            </w:r>
            <w:r w:rsidR="008F7A0B">
              <w:rPr>
                <w:rFonts w:ascii="Century Gothic" w:hAnsi="Century Gothic"/>
                <w:b/>
                <w:color w:val="595959" w:themeColor="text1" w:themeTint="A6"/>
                <w:sz w:val="44"/>
              </w:rPr>
              <w:t>pour Microsoft Word</w:t>
            </w:r>
          </w:p>
          <w:p w14:paraId="3B3887D2" w14:textId="77777777" w:rsidR="002E45D2" w:rsidRPr="002E45D2" w:rsidRDefault="002E45D2" w:rsidP="00D315A9">
            <w:pPr>
              <w:rPr>
                <w:rFonts w:ascii="Century Gothic" w:eastAsia="Times New Roman" w:hAnsi="Century Gothic" w:cs="Times New Roman"/>
                <w:b/>
                <w:bCs/>
                <w:color w:val="204559"/>
              </w:rPr>
            </w:pPr>
          </w:p>
          <w:p w14:paraId="587F4DF5" w14:textId="47509C31" w:rsidR="002E45D2" w:rsidRPr="002E45D2" w:rsidRDefault="002E45D2" w:rsidP="000E39FF">
            <w:pPr>
              <w:rPr>
                <w:rFonts w:ascii="Century Gothic" w:eastAsia="Times New Roman" w:hAnsi="Century Gothic" w:cs="Times New Roman"/>
                <w:b/>
                <w:bCs/>
                <w:color w:val="204559"/>
                <w:sz w:val="38"/>
                <w:szCs w:val="38"/>
              </w:rPr>
            </w:pPr>
            <w:r>
              <w:rPr>
                <w:rFonts w:ascii="Century Gothic" w:hAnsi="Century Gothic"/>
                <w:color w:val="000000"/>
                <w:sz w:val="20"/>
              </w:rPr>
              <w:t>Ce plan stratégique sert de feuille de route à l’Université Greenfield pour réaliser sa vision et sa mission, relever les défis contemporains et saisir les occasions de croissance et d’impact.</w:t>
            </w:r>
          </w:p>
        </w:tc>
      </w:tr>
      <w:tr w:rsidR="00D315A9" w:rsidRPr="00E94F29" w14:paraId="55E26958" w14:textId="77777777" w:rsidTr="008F7A0B">
        <w:trPr>
          <w:trHeight w:val="480"/>
        </w:trPr>
        <w:tc>
          <w:tcPr>
            <w:tcW w:w="14125" w:type="dxa"/>
            <w:gridSpan w:val="2"/>
            <w:tcBorders>
              <w:top w:val="single" w:sz="4" w:space="0" w:color="BFBFBF"/>
              <w:left w:val="single" w:sz="4" w:space="0" w:color="BFBFBF"/>
              <w:right w:val="single" w:sz="4" w:space="0" w:color="BFBFBF"/>
            </w:tcBorders>
            <w:shd w:val="clear" w:color="auto" w:fill="2E74B5" w:themeFill="accent5" w:themeFillShade="BF"/>
            <w:vAlign w:val="center"/>
            <w:hideMark/>
          </w:tcPr>
          <w:p w14:paraId="42FBEDE6" w14:textId="72F338AE" w:rsidR="00D315A9" w:rsidRPr="008F7A0B" w:rsidRDefault="00663EA6" w:rsidP="00E94F29">
            <w:pPr>
              <w:rPr>
                <w:rFonts w:ascii="Century Gothic" w:hAnsi="Century Gothic"/>
                <w:bCs/>
                <w:color w:val="FFFFFF" w:themeColor="background1"/>
                <w:sz w:val="28"/>
                <w:szCs w:val="28"/>
              </w:rPr>
            </w:pPr>
            <w:r>
              <w:rPr>
                <w:rFonts w:ascii="Century Gothic" w:hAnsi="Century Gothic"/>
                <w:color w:val="FFFFFF" w:themeColor="background1"/>
                <w:sz w:val="28"/>
              </w:rPr>
              <w:t xml:space="preserve"> UNIVERSITÉ GREENFIELD - QUI SOMMES-NOUS ?</w:t>
            </w:r>
          </w:p>
        </w:tc>
      </w:tr>
      <w:tr w:rsidR="004F45A8" w:rsidRPr="004F45A8" w14:paraId="25CAD4BC" w14:textId="77777777" w:rsidTr="001A5905">
        <w:trPr>
          <w:trHeight w:val="1306"/>
        </w:trPr>
        <w:tc>
          <w:tcPr>
            <w:tcW w:w="3539"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9F0382C" w14:textId="458AAB2B"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HIER </w:t>
            </w:r>
            <w:r w:rsidR="006F79F6" w:rsidRPr="008F7A0B">
              <w:rPr>
                <w:rFonts w:ascii="Century Gothic" w:hAnsi="Century Gothic"/>
                <w:color w:val="595959" w:themeColor="text1" w:themeTint="A6"/>
                <w:sz w:val="20"/>
                <w:szCs w:val="20"/>
              </w:rPr>
              <w:t>—</w:t>
            </w:r>
            <w:r w:rsidRPr="008F7A0B">
              <w:rPr>
                <w:rFonts w:ascii="Century Gothic" w:hAnsi="Century Gothic"/>
                <w:color w:val="595959" w:themeColor="text1" w:themeTint="A6"/>
                <w:sz w:val="20"/>
                <w:szCs w:val="20"/>
              </w:rPr>
              <w:t xml:space="preserve"> ce que nous avons fait</w:t>
            </w:r>
          </w:p>
        </w:tc>
        <w:tc>
          <w:tcPr>
            <w:tcW w:w="10586" w:type="dxa"/>
            <w:tcBorders>
              <w:top w:val="nil"/>
              <w:left w:val="nil"/>
              <w:bottom w:val="single" w:sz="4" w:space="0" w:color="BFBFBF"/>
              <w:right w:val="single" w:sz="4" w:space="0" w:color="BFBFBF"/>
            </w:tcBorders>
            <w:shd w:val="clear" w:color="auto" w:fill="auto"/>
            <w:vAlign w:val="center"/>
            <w:hideMark/>
          </w:tcPr>
          <w:p w14:paraId="3FA7DCB5" w14:textId="22D292E3" w:rsidR="00D315A9" w:rsidRPr="00AD364F" w:rsidRDefault="00EC41EB" w:rsidP="00311343">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Fondée en 1965, l’Université Greenfield a une longue histoire d’excellence et d’innovation académiques, passant d’un humble collège d’arts libéraux à une université de recherche complète.</w:t>
            </w:r>
          </w:p>
        </w:tc>
      </w:tr>
      <w:tr w:rsidR="004F45A8" w:rsidRPr="00311343" w14:paraId="0CB7F9F3" w14:textId="77777777" w:rsidTr="001A5905">
        <w:trPr>
          <w:trHeight w:val="1358"/>
        </w:trPr>
        <w:tc>
          <w:tcPr>
            <w:tcW w:w="353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715006FC" w14:textId="77777777" w:rsidR="00D315A9" w:rsidRPr="008F7A0B" w:rsidRDefault="00D315A9" w:rsidP="00E25329">
            <w:pPr>
              <w:rPr>
                <w:rFonts w:ascii="Century Gothic" w:eastAsia="Times New Roman" w:hAnsi="Century Gothic" w:cs="Times New Roman"/>
                <w:b/>
                <w:color w:val="595959" w:themeColor="text1" w:themeTint="A6"/>
                <w:sz w:val="20"/>
                <w:szCs w:val="20"/>
              </w:rPr>
            </w:pPr>
            <w:r>
              <w:rPr>
                <w:rFonts w:ascii="Century Gothic" w:hAnsi="Century Gothic"/>
                <w:b/>
                <w:color w:val="595959" w:themeColor="text1" w:themeTint="A6"/>
                <w:sz w:val="20"/>
              </w:rPr>
              <w:t xml:space="preserve">AUJOURD’HUI </w:t>
            </w:r>
            <w:r w:rsidRPr="008F7A0B">
              <w:rPr>
                <w:rFonts w:ascii="Century Gothic" w:hAnsi="Century Gothic"/>
                <w:color w:val="595959" w:themeColor="text1" w:themeTint="A6"/>
                <w:sz w:val="20"/>
                <w:szCs w:val="20"/>
              </w:rPr>
              <w:t>— où en sommes-nous maintenant ?</w:t>
            </w:r>
          </w:p>
        </w:tc>
        <w:tc>
          <w:tcPr>
            <w:tcW w:w="10586"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2628F7D2" w14:textId="5E12017F" w:rsidR="00D315A9" w:rsidRPr="00AD364F" w:rsidRDefault="00EC41EB" w:rsidP="00311343">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À l’heure actuelle, l’Université Greenfield accueille plus de 20 000 étudiants et offre un large éventail de programmes de premier cycle, de deuxième cycle et de doctorat. Reconnus pour notre engagement envers la durabilité, l’intégration de la technologie et l’engagement communautaire, nous continuons d’évoluer pour relever les défis d’un monde en évolution.</w:t>
            </w:r>
          </w:p>
        </w:tc>
      </w:tr>
      <w:tr w:rsidR="004F45A8" w:rsidRPr="004F45A8" w14:paraId="71EA1155" w14:textId="77777777" w:rsidTr="001A5905">
        <w:trPr>
          <w:trHeight w:val="1106"/>
        </w:trPr>
        <w:tc>
          <w:tcPr>
            <w:tcW w:w="353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08FC9DC5"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DEMAIN </w:t>
            </w:r>
            <w:r w:rsidRPr="008F7A0B">
              <w:rPr>
                <w:rFonts w:ascii="Century Gothic" w:hAnsi="Century Gothic"/>
                <w:color w:val="595959" w:themeColor="text1" w:themeTint="A6"/>
                <w:sz w:val="20"/>
                <w:szCs w:val="20"/>
              </w:rPr>
              <w:t>— où devrions-nous aller et pourquoi ?</w:t>
            </w:r>
          </w:p>
        </w:tc>
        <w:tc>
          <w:tcPr>
            <w:tcW w:w="10586"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E3D54C6" w14:textId="07721CF0" w:rsidR="00D315A9" w:rsidRPr="00AD364F" w:rsidRDefault="00EC41EB" w:rsidP="00311343">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Être reconnu comme un leader mondial dans le domaine de l’enseignement supérieur, de la recherche de pointe et de l’innovation qui contribuent à un avenir durable et habilitent les individus à apporter des contributions significatives à la société.</w:t>
            </w:r>
          </w:p>
        </w:tc>
      </w:tr>
      <w:tr w:rsidR="004F45A8" w:rsidRPr="004F45A8" w14:paraId="7DDED8CB" w14:textId="77777777" w:rsidTr="00396798">
        <w:trPr>
          <w:trHeight w:val="1376"/>
        </w:trPr>
        <w:tc>
          <w:tcPr>
            <w:tcW w:w="353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3BA7EF2D"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MISSION </w:t>
            </w:r>
            <w:r>
              <w:rPr>
                <w:rFonts w:ascii="Century Gothic" w:hAnsi="Century Gothic"/>
                <w:color w:val="595959" w:themeColor="text1" w:themeTint="A6"/>
                <w:sz w:val="20"/>
              </w:rPr>
              <w:t>— qui sommes-nous, comment travaillons-nous à la réalisation de notre vision et qu’est-ce qui nous rend uniques ?</w:t>
            </w:r>
          </w:p>
        </w:tc>
        <w:tc>
          <w:tcPr>
            <w:tcW w:w="10586"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348F7095" w14:textId="0266BC03" w:rsidR="00D315A9" w:rsidRPr="00AD364F" w:rsidRDefault="00EC41EB" w:rsidP="00311343">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La mission de l’Université Greenfield est de proposer un enseignement accessible et de haute qualité qui favorise la pensée critique, la créativité et l’apprentissage continu dans un environnement diversifié et inclusif. Nous visons à faire progresser les connaissances par la recherche et l’érudition, à promouvoir une culture du service et à préparer les étudiants à la citoyenneté mondiale et à la réussite professionnelle.</w:t>
            </w:r>
          </w:p>
        </w:tc>
      </w:tr>
      <w:tr w:rsidR="004F45A8" w:rsidRPr="004F45A8" w14:paraId="18CA9354" w14:textId="77777777" w:rsidTr="00396798">
        <w:trPr>
          <w:trHeight w:val="1841"/>
        </w:trPr>
        <w:tc>
          <w:tcPr>
            <w:tcW w:w="353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92FEDB0"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VALEURS FONDAMENTALES </w:t>
            </w:r>
            <w:r w:rsidRPr="008F7A0B">
              <w:rPr>
                <w:rFonts w:ascii="Century Gothic" w:hAnsi="Century Gothic"/>
                <w:color w:val="595959" w:themeColor="text1" w:themeTint="A6"/>
                <w:sz w:val="20"/>
                <w:szCs w:val="20"/>
              </w:rPr>
              <w:t>— principes directeurs de notre travail et notre mode de fonctionnement</w:t>
            </w:r>
          </w:p>
        </w:tc>
        <w:tc>
          <w:tcPr>
            <w:tcW w:w="10586"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65B6455" w14:textId="6A82A401" w:rsidR="00AD364F" w:rsidRPr="00AD364F" w:rsidRDefault="00AD364F" w:rsidP="00AD364F">
            <w:pPr>
              <w:pStyle w:val="ListParagraph"/>
              <w:numPr>
                <w:ilvl w:val="0"/>
                <w:numId w:val="1"/>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Excellence : s’engager envers les normes les plus élevées en matière d’enseignement, de recherche et de service.</w:t>
            </w:r>
          </w:p>
          <w:p w14:paraId="0B250758" w14:textId="77777777" w:rsidR="00AD364F" w:rsidRPr="00AD364F" w:rsidRDefault="00AD364F" w:rsidP="00AD364F">
            <w:pPr>
              <w:pStyle w:val="ListParagraph"/>
              <w:numPr>
                <w:ilvl w:val="0"/>
                <w:numId w:val="1"/>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Innovation : favoriser la créativité et les nouvelles idées pour relever les défis de notre époque.</w:t>
            </w:r>
          </w:p>
          <w:p w14:paraId="2697751D" w14:textId="77777777" w:rsidR="00AD364F" w:rsidRPr="00AD364F" w:rsidRDefault="00AD364F" w:rsidP="00AD364F">
            <w:pPr>
              <w:pStyle w:val="ListParagraph"/>
              <w:numPr>
                <w:ilvl w:val="0"/>
                <w:numId w:val="1"/>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Durabilité : mettre en avant le respecter de l’environnement et l’application de pratiques durables.</w:t>
            </w:r>
          </w:p>
          <w:p w14:paraId="1B74B194" w14:textId="77777777" w:rsidR="00AD364F" w:rsidRPr="00AD364F" w:rsidRDefault="00AD364F" w:rsidP="00AD364F">
            <w:pPr>
              <w:pStyle w:val="ListParagraph"/>
              <w:numPr>
                <w:ilvl w:val="0"/>
                <w:numId w:val="1"/>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Diversité et inclusion : adopter une culture de respect, d’équité et de compréhension.</w:t>
            </w:r>
          </w:p>
          <w:p w14:paraId="6EBE6236" w14:textId="66CD3EA6" w:rsidR="00D315A9" w:rsidRPr="001A5905" w:rsidRDefault="00AD364F" w:rsidP="00AD364F">
            <w:pPr>
              <w:pStyle w:val="ListParagraph"/>
              <w:numPr>
                <w:ilvl w:val="0"/>
                <w:numId w:val="1"/>
              </w:numPr>
              <w:rPr>
                <w:rFonts w:ascii="Century Gothic" w:eastAsia="Times New Roman" w:hAnsi="Century Gothic" w:cs="Times New Roman"/>
                <w:color w:val="000000" w:themeColor="text1"/>
                <w:spacing w:val="-2"/>
                <w:sz w:val="20"/>
                <w:szCs w:val="20"/>
              </w:rPr>
            </w:pPr>
            <w:r w:rsidRPr="001A5905">
              <w:rPr>
                <w:rFonts w:ascii="Century Gothic" w:hAnsi="Century Gothic"/>
                <w:color w:val="000000" w:themeColor="text1"/>
                <w:spacing w:val="-2"/>
                <w:sz w:val="20"/>
              </w:rPr>
              <w:t>Engagement communautaire : renforcer les partenariats et contribuer au bien-être de nos collectivités.</w:t>
            </w:r>
          </w:p>
        </w:tc>
      </w:tr>
      <w:tr w:rsidR="004F45A8" w:rsidRPr="004F45A8" w14:paraId="56D1422D" w14:textId="77777777" w:rsidTr="001A5905">
        <w:trPr>
          <w:trHeight w:val="162"/>
        </w:trPr>
        <w:tc>
          <w:tcPr>
            <w:tcW w:w="3539" w:type="dxa"/>
            <w:tcBorders>
              <w:top w:val="nil"/>
              <w:left w:val="nil"/>
              <w:bottom w:val="single" w:sz="4" w:space="0" w:color="BFBFBF" w:themeColor="background1" w:themeShade="BF"/>
              <w:right w:val="nil"/>
            </w:tcBorders>
            <w:shd w:val="clear" w:color="auto" w:fill="auto"/>
            <w:hideMark/>
          </w:tcPr>
          <w:p w14:paraId="2E82AB99" w14:textId="77777777" w:rsidR="00D315A9" w:rsidRPr="009868C9" w:rsidRDefault="00D315A9" w:rsidP="00396798">
            <w:pPr>
              <w:pageBreakBefore/>
              <w:rPr>
                <w:rFonts w:ascii="Century Gothic" w:eastAsia="Times New Roman" w:hAnsi="Century Gothic" w:cs="Times New Roman"/>
                <w:color w:val="1E4558"/>
                <w:sz w:val="14"/>
                <w:szCs w:val="14"/>
              </w:rPr>
            </w:pPr>
          </w:p>
        </w:tc>
        <w:tc>
          <w:tcPr>
            <w:tcW w:w="10586" w:type="dxa"/>
            <w:tcBorders>
              <w:top w:val="nil"/>
              <w:left w:val="nil"/>
              <w:bottom w:val="single" w:sz="4" w:space="0" w:color="BFBFBF" w:themeColor="background1" w:themeShade="BF"/>
              <w:right w:val="nil"/>
            </w:tcBorders>
            <w:shd w:val="clear" w:color="auto" w:fill="auto"/>
            <w:vAlign w:val="bottom"/>
            <w:hideMark/>
          </w:tcPr>
          <w:p w14:paraId="65FDDB41" w14:textId="77777777" w:rsidR="00D315A9" w:rsidRPr="009868C9" w:rsidRDefault="00D315A9" w:rsidP="00396798">
            <w:pPr>
              <w:pageBreakBefore/>
              <w:rPr>
                <w:rFonts w:ascii="Century Gothic" w:eastAsia="Times New Roman" w:hAnsi="Century Gothic" w:cs="Times New Roman"/>
                <w:color w:val="1E4558"/>
                <w:sz w:val="14"/>
                <w:szCs w:val="14"/>
              </w:rPr>
            </w:pPr>
          </w:p>
        </w:tc>
      </w:tr>
      <w:tr w:rsidR="00D315A9" w:rsidRPr="00E94F29" w14:paraId="3FC06D7F" w14:textId="77777777" w:rsidTr="008F7A0B">
        <w:trPr>
          <w:trHeight w:val="480"/>
        </w:trPr>
        <w:tc>
          <w:tcPr>
            <w:tcW w:w="141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34E491F7" w14:textId="77777777" w:rsidR="00D315A9" w:rsidRPr="008F7A0B" w:rsidRDefault="00D315A9" w:rsidP="0025175F">
            <w:pPr>
              <w:rPr>
                <w:rFonts w:ascii="Century Gothic" w:eastAsia="Times New Roman" w:hAnsi="Century Gothic" w:cs="Times New Roman"/>
                <w:color w:val="1E4558"/>
                <w:sz w:val="28"/>
                <w:szCs w:val="28"/>
              </w:rPr>
            </w:pPr>
            <w:r>
              <w:rPr>
                <w:rFonts w:ascii="Century Gothic" w:hAnsi="Century Gothic"/>
                <w:color w:val="FFFFFF"/>
                <w:sz w:val="28"/>
              </w:rPr>
              <w:t>OBJECTIFS</w:t>
            </w:r>
          </w:p>
        </w:tc>
      </w:tr>
      <w:tr w:rsidR="004F45A8" w:rsidRPr="004F45A8" w14:paraId="0FDE71C8" w14:textId="77777777" w:rsidTr="001A5905">
        <w:trPr>
          <w:trHeight w:val="808"/>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43586E3" w14:textId="1BC7B43F"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OBSTACLES </w:t>
            </w:r>
            <w:r w:rsidR="006F79F6" w:rsidRPr="008F7A0B">
              <w:rPr>
                <w:rFonts w:ascii="Century Gothic" w:hAnsi="Century Gothic"/>
                <w:color w:val="595959" w:themeColor="text1" w:themeTint="A6"/>
                <w:sz w:val="20"/>
                <w:szCs w:val="20"/>
              </w:rPr>
              <w:t>—</w:t>
            </w:r>
            <w:r w:rsidRPr="008F7A0B">
              <w:rPr>
                <w:rFonts w:ascii="Century Gothic" w:hAnsi="Century Gothic"/>
                <w:color w:val="595959" w:themeColor="text1" w:themeTint="A6"/>
                <w:sz w:val="20"/>
                <w:szCs w:val="20"/>
              </w:rPr>
              <w:t xml:space="preserve"> ce qui pourrait nous empêcher de réaliser notre vision</w:t>
            </w:r>
          </w:p>
        </w:tc>
        <w:tc>
          <w:tcPr>
            <w:tcW w:w="10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84A5EE" w14:textId="2C365BC7" w:rsidR="00D315A9" w:rsidRPr="007B0253" w:rsidRDefault="00DF1DBC" w:rsidP="00E25329">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Naviguer dans le paysage en rapide évolution de l’enseignement supérieur, y compris les avancées technologiques, les changements démographiques et les exigences croissantes en matière de responsabilité et de durabilité.</w:t>
            </w:r>
          </w:p>
        </w:tc>
      </w:tr>
      <w:tr w:rsidR="004F45A8" w:rsidRPr="004F45A8" w14:paraId="209DF494" w14:textId="77777777" w:rsidTr="001A5905">
        <w:trPr>
          <w:trHeight w:val="822"/>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3BFC2B9"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OBJECTIFS À LONG TERME </w:t>
            </w:r>
            <w:r w:rsidRPr="008F7A0B">
              <w:rPr>
                <w:rFonts w:ascii="Century Gothic" w:hAnsi="Century Gothic"/>
                <w:color w:val="595959" w:themeColor="text1" w:themeTint="A6"/>
                <w:sz w:val="20"/>
                <w:szCs w:val="20"/>
              </w:rPr>
              <w:t>— ce que nous allons faire pour réaliser notre vision</w:t>
            </w:r>
          </w:p>
        </w:tc>
        <w:tc>
          <w:tcPr>
            <w:tcW w:w="10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3B8C11C" w14:textId="57231EEB" w:rsidR="00DF1DBC" w:rsidRPr="007B0253" w:rsidRDefault="00DF1DBC" w:rsidP="00DF1DBC">
            <w:pPr>
              <w:pStyle w:val="ListParagraph"/>
              <w:numPr>
                <w:ilvl w:val="0"/>
                <w:numId w:val="2"/>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Devenir un campus neutre en carbone d’ici 20XX.</w:t>
            </w:r>
          </w:p>
          <w:p w14:paraId="41D53B25" w14:textId="77777777" w:rsidR="00DF1DBC" w:rsidRPr="007B0253" w:rsidRDefault="00DF1DBC" w:rsidP="00DF1DBC">
            <w:pPr>
              <w:pStyle w:val="ListParagraph"/>
              <w:numPr>
                <w:ilvl w:val="0"/>
                <w:numId w:val="2"/>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Augmenter de 50 % le financement de la recherche d’ici 20XX.</w:t>
            </w:r>
          </w:p>
          <w:p w14:paraId="4E9E0E78" w14:textId="2C4ACA77" w:rsidR="00D315A9" w:rsidRPr="007B0253" w:rsidRDefault="00DF1DBC" w:rsidP="00DF1DBC">
            <w:pPr>
              <w:pStyle w:val="ListParagraph"/>
              <w:numPr>
                <w:ilvl w:val="0"/>
                <w:numId w:val="2"/>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Renforcer l’engagement mondial par le biais de partenariats et de programmes internationaux.</w:t>
            </w:r>
          </w:p>
        </w:tc>
      </w:tr>
      <w:tr w:rsidR="004F45A8" w:rsidRPr="004F45A8" w14:paraId="2C0CC582" w14:textId="77777777" w:rsidTr="001A5905">
        <w:trPr>
          <w:trHeight w:val="1045"/>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6BC8337"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OBJECTIFS À COURT TERME </w:t>
            </w:r>
            <w:r w:rsidRPr="008F7A0B">
              <w:rPr>
                <w:rFonts w:ascii="Century Gothic" w:hAnsi="Century Gothic"/>
                <w:color w:val="595959" w:themeColor="text1" w:themeTint="A6"/>
                <w:sz w:val="20"/>
                <w:szCs w:val="20"/>
              </w:rPr>
              <w:t>— ce qui sera fait au bout d’un an, deux ans, trois ans, etc.</w:t>
            </w:r>
          </w:p>
        </w:tc>
        <w:tc>
          <w:tcPr>
            <w:tcW w:w="10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C0E39B" w14:textId="7458A0F7" w:rsidR="007B0253" w:rsidRPr="007B0253" w:rsidRDefault="007B0253" w:rsidP="007B0253">
            <w:pPr>
              <w:pStyle w:val="ListParagraph"/>
              <w:numPr>
                <w:ilvl w:val="0"/>
                <w:numId w:val="3"/>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Améliorer les taux de fidélisation des étudiants de 10 % au cours de la prochaine année scolaire.</w:t>
            </w:r>
          </w:p>
          <w:p w14:paraId="64E896E9" w14:textId="77777777" w:rsidR="007B0253" w:rsidRPr="007B0253" w:rsidRDefault="007B0253" w:rsidP="007B0253">
            <w:pPr>
              <w:pStyle w:val="ListParagraph"/>
              <w:numPr>
                <w:ilvl w:val="0"/>
                <w:numId w:val="3"/>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Lancer cinq nouveaux programmes interdisciplinaires axés sur la durabilité et la technologie.</w:t>
            </w:r>
          </w:p>
          <w:p w14:paraId="6902D0AF" w14:textId="49F24E2C" w:rsidR="00D315A9" w:rsidRPr="007B0253" w:rsidRDefault="007B0253" w:rsidP="007B0253">
            <w:pPr>
              <w:pStyle w:val="ListParagraph"/>
              <w:numPr>
                <w:ilvl w:val="0"/>
                <w:numId w:val="3"/>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Élargir les initiatives de services communautaires pour faire participer 75 % de la population étudiante d’ici la fin de l’année.</w:t>
            </w:r>
          </w:p>
        </w:tc>
      </w:tr>
      <w:tr w:rsidR="004F45A8" w:rsidRPr="004F45A8" w14:paraId="1717C8EF" w14:textId="77777777" w:rsidTr="001A5905">
        <w:trPr>
          <w:trHeight w:val="1059"/>
        </w:trPr>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101D057"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MESURES DE RÉUSSITE </w:t>
            </w:r>
            <w:r w:rsidRPr="008F7A0B">
              <w:rPr>
                <w:rFonts w:ascii="Century Gothic" w:hAnsi="Century Gothic"/>
                <w:color w:val="595959" w:themeColor="text1" w:themeTint="A6"/>
                <w:sz w:val="20"/>
                <w:szCs w:val="20"/>
              </w:rPr>
              <w:t>— quels critères de référence seront utilisés comme indicateurs de réussite ?</w:t>
            </w:r>
          </w:p>
        </w:tc>
        <w:tc>
          <w:tcPr>
            <w:tcW w:w="10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D5BBFC3" w14:textId="641D93AE" w:rsidR="007B0253" w:rsidRPr="007B0253" w:rsidRDefault="007B0253" w:rsidP="007B0253">
            <w:pPr>
              <w:pStyle w:val="ListParagraph"/>
              <w:numPr>
                <w:ilvl w:val="0"/>
                <w:numId w:val="4"/>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Suivre les progrès vers la neutralité carbone grâce à des rapports annuels sur la durabilité.</w:t>
            </w:r>
          </w:p>
          <w:p w14:paraId="33D87767" w14:textId="77777777" w:rsidR="007B0253" w:rsidRPr="007B0253" w:rsidRDefault="007B0253" w:rsidP="007B0253">
            <w:pPr>
              <w:pStyle w:val="ListParagraph"/>
              <w:numPr>
                <w:ilvl w:val="0"/>
                <w:numId w:val="4"/>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Surveiller les niveaux de financement de la recherche et l’impact des activités de recherche.</w:t>
            </w:r>
          </w:p>
          <w:p w14:paraId="3DA2515A" w14:textId="126982E9" w:rsidR="00D315A9" w:rsidRPr="007B0253" w:rsidRDefault="007B0253" w:rsidP="007B0253">
            <w:pPr>
              <w:pStyle w:val="ListParagraph"/>
              <w:numPr>
                <w:ilvl w:val="0"/>
                <w:numId w:val="4"/>
              </w:num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Évaluer les efforts de fidélisation des étudiants au moyen de données sur les inscriptions et de sondages auprès des étudiants.</w:t>
            </w:r>
          </w:p>
        </w:tc>
      </w:tr>
      <w:tr w:rsidR="00D315A9" w:rsidRPr="00E94F29" w14:paraId="45DDED26" w14:textId="77777777" w:rsidTr="009868C9">
        <w:trPr>
          <w:trHeight w:val="70"/>
        </w:trPr>
        <w:tc>
          <w:tcPr>
            <w:tcW w:w="3539" w:type="dxa"/>
            <w:tcBorders>
              <w:top w:val="single" w:sz="4" w:space="0" w:color="BFBFBF" w:themeColor="background1" w:themeShade="BF"/>
              <w:left w:val="nil"/>
              <w:bottom w:val="single" w:sz="4" w:space="0" w:color="BFBFBF" w:themeColor="background1" w:themeShade="BF"/>
              <w:right w:val="nil"/>
            </w:tcBorders>
            <w:shd w:val="clear" w:color="auto" w:fill="auto"/>
            <w:vAlign w:val="bottom"/>
            <w:hideMark/>
          </w:tcPr>
          <w:p w14:paraId="06843299" w14:textId="77777777" w:rsidR="00D315A9" w:rsidRPr="009868C9" w:rsidRDefault="00D315A9" w:rsidP="00D315A9">
            <w:pPr>
              <w:rPr>
                <w:rFonts w:ascii="Century Gothic" w:eastAsia="Times New Roman" w:hAnsi="Century Gothic" w:cs="Times New Roman"/>
                <w:color w:val="000000"/>
                <w:sz w:val="14"/>
                <w:szCs w:val="14"/>
              </w:rPr>
            </w:pPr>
          </w:p>
        </w:tc>
        <w:tc>
          <w:tcPr>
            <w:tcW w:w="10586"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1895CCC9" w14:textId="77777777" w:rsidR="00D315A9" w:rsidRPr="009868C9" w:rsidRDefault="00D315A9" w:rsidP="00E25329">
            <w:pPr>
              <w:rPr>
                <w:rFonts w:ascii="Century Gothic" w:eastAsia="Times New Roman" w:hAnsi="Century Gothic" w:cs="Times New Roman"/>
                <w:sz w:val="14"/>
                <w:szCs w:val="14"/>
              </w:rPr>
            </w:pPr>
          </w:p>
        </w:tc>
      </w:tr>
      <w:tr w:rsidR="00D315A9" w:rsidRPr="00E94F29" w14:paraId="34F61F8F" w14:textId="77777777" w:rsidTr="008F7A0B">
        <w:trPr>
          <w:trHeight w:val="480"/>
        </w:trPr>
        <w:tc>
          <w:tcPr>
            <w:tcW w:w="141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6DDF9222" w14:textId="77777777" w:rsidR="00D315A9" w:rsidRPr="008F7A0B" w:rsidRDefault="00D315A9" w:rsidP="0025175F">
            <w:pPr>
              <w:rPr>
                <w:rFonts w:ascii="Century Gothic" w:eastAsia="Times New Roman" w:hAnsi="Century Gothic" w:cs="Times New Roman"/>
                <w:color w:val="FFFFFF" w:themeColor="background1"/>
                <w:sz w:val="28"/>
                <w:szCs w:val="28"/>
              </w:rPr>
            </w:pPr>
            <w:r>
              <w:rPr>
                <w:rFonts w:ascii="Century Gothic" w:hAnsi="Century Gothic"/>
                <w:color w:val="FFFFFF" w:themeColor="background1"/>
                <w:sz w:val="28"/>
              </w:rPr>
              <w:t>STRATÉGIE</w:t>
            </w:r>
          </w:p>
        </w:tc>
      </w:tr>
      <w:tr w:rsidR="004F45A8" w:rsidRPr="004F45A8" w14:paraId="375EBA28" w14:textId="77777777" w:rsidTr="001A5905">
        <w:trPr>
          <w:trHeight w:val="793"/>
        </w:trPr>
        <w:tc>
          <w:tcPr>
            <w:tcW w:w="353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61257881" w14:textId="6F1F0BDD"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ÉVALUATION DES RESSOURCES</w:t>
            </w:r>
            <w:r w:rsidRPr="008F7A0B">
              <w:rPr>
                <w:rFonts w:ascii="Century Gothic" w:hAnsi="Century Gothic"/>
                <w:color w:val="595959" w:themeColor="text1" w:themeTint="A6"/>
                <w:sz w:val="20"/>
                <w:szCs w:val="20"/>
              </w:rPr>
              <w:t xml:space="preserve"> </w:t>
            </w:r>
            <w:r w:rsidR="006F79F6" w:rsidRPr="008F7A0B">
              <w:rPr>
                <w:rFonts w:ascii="Century Gothic" w:hAnsi="Century Gothic"/>
                <w:color w:val="595959" w:themeColor="text1" w:themeTint="A6"/>
                <w:sz w:val="20"/>
                <w:szCs w:val="20"/>
              </w:rPr>
              <w:t>—</w:t>
            </w:r>
            <w:r w:rsidRPr="008F7A0B">
              <w:rPr>
                <w:rFonts w:ascii="Century Gothic" w:hAnsi="Century Gothic"/>
                <w:color w:val="595959" w:themeColor="text1" w:themeTint="A6"/>
                <w:sz w:val="20"/>
                <w:szCs w:val="20"/>
              </w:rPr>
              <w:t xml:space="preserve"> infrastructure requise pour réaliser la vision</w:t>
            </w:r>
          </w:p>
        </w:tc>
        <w:tc>
          <w:tcPr>
            <w:tcW w:w="10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8CD89B" w14:textId="6FFD4DFC" w:rsidR="00D315A9" w:rsidRPr="007753F0" w:rsidRDefault="00225E8E" w:rsidP="007C4648">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Évaluation complète des ressources financières, humaines et matérielles pour le soutien des initiatives stratégiques, en déterminant les secteurs à réaffecter ou à investir pour atteindre les objectifs stratégiques.</w:t>
            </w:r>
          </w:p>
        </w:tc>
      </w:tr>
      <w:tr w:rsidR="004F45A8" w:rsidRPr="004F45A8" w14:paraId="6B246EBB" w14:textId="77777777" w:rsidTr="001A5905">
        <w:trPr>
          <w:trHeight w:val="821"/>
        </w:trPr>
        <w:tc>
          <w:tcPr>
            <w:tcW w:w="353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48185025" w14:textId="7ECBD6FC"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MISE EN ŒUVRE </w:t>
            </w:r>
            <w:r w:rsidR="006F79F6" w:rsidRPr="008F7A0B">
              <w:rPr>
                <w:rFonts w:ascii="Century Gothic" w:hAnsi="Century Gothic"/>
                <w:color w:val="595959" w:themeColor="text1" w:themeTint="A6"/>
                <w:sz w:val="20"/>
                <w:szCs w:val="20"/>
              </w:rPr>
              <w:t>—</w:t>
            </w:r>
            <w:r>
              <w:rPr>
                <w:rFonts w:ascii="Century Gothic" w:hAnsi="Century Gothic"/>
                <w:color w:val="595959" w:themeColor="text1" w:themeTint="A6"/>
                <w:sz w:val="20"/>
              </w:rPr>
              <w:t xml:space="preserve"> planification des mesures à prendre et de leurs échéances de réalisation</w:t>
            </w:r>
          </w:p>
        </w:tc>
        <w:tc>
          <w:tcPr>
            <w:tcW w:w="10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7C77D72" w14:textId="0967D905" w:rsidR="00D315A9" w:rsidRPr="007753F0" w:rsidRDefault="00225E8E" w:rsidP="007C4648">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Élaborer des plans d’action détaillés pour chaque initiative stratégique, y compris les échéanciers, les parties responsables et les ressources requises. Mettre l’accent sur la flexibilité et l’adaptabilité pour faire face aux défis imprévus.</w:t>
            </w:r>
          </w:p>
        </w:tc>
      </w:tr>
      <w:tr w:rsidR="004F45A8" w:rsidRPr="004F45A8" w14:paraId="79DC7983" w14:textId="77777777" w:rsidTr="001A5905">
        <w:trPr>
          <w:trHeight w:val="598"/>
        </w:trPr>
        <w:tc>
          <w:tcPr>
            <w:tcW w:w="353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6FB8E07C" w14:textId="4416E263"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DIFFUSION </w:t>
            </w:r>
            <w:r w:rsidR="006F79F6" w:rsidRPr="008F7A0B">
              <w:rPr>
                <w:rFonts w:ascii="Century Gothic" w:hAnsi="Century Gothic"/>
                <w:color w:val="595959" w:themeColor="text1" w:themeTint="A6"/>
                <w:sz w:val="20"/>
                <w:szCs w:val="20"/>
              </w:rPr>
              <w:t>—</w:t>
            </w:r>
            <w:r w:rsidRPr="008F7A0B">
              <w:rPr>
                <w:rFonts w:ascii="Century Gothic" w:hAnsi="Century Gothic"/>
                <w:color w:val="595959" w:themeColor="text1" w:themeTint="A6"/>
                <w:sz w:val="20"/>
                <w:szCs w:val="20"/>
              </w:rPr>
              <w:t xml:space="preserve"> comment le plan sera annoncé/attribué et à qui</w:t>
            </w:r>
          </w:p>
        </w:tc>
        <w:tc>
          <w:tcPr>
            <w:tcW w:w="10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88EC43" w14:textId="723C2BC3" w:rsidR="00D315A9" w:rsidRPr="007753F0" w:rsidRDefault="00225E8E" w:rsidP="007C4648">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Communiquer le plan stratégique à toutes les parties prenantes des universités par de multiples voies, assurer la transparence et favoriser un sentiment d’objectif commun et d’engagement.</w:t>
            </w:r>
          </w:p>
        </w:tc>
      </w:tr>
      <w:tr w:rsidR="007753F0" w:rsidRPr="004F45A8" w14:paraId="7E929D61" w14:textId="77777777" w:rsidTr="001A5905">
        <w:trPr>
          <w:trHeight w:val="1296"/>
        </w:trPr>
        <w:tc>
          <w:tcPr>
            <w:tcW w:w="353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tcPr>
          <w:p w14:paraId="17CF1BAF" w14:textId="18E04C25" w:rsidR="007753F0" w:rsidRPr="001A5905" w:rsidRDefault="007753F0" w:rsidP="007753F0">
            <w:pPr>
              <w:rPr>
                <w:rFonts w:ascii="Century Gothic" w:eastAsia="Times New Roman" w:hAnsi="Century Gothic" w:cs="Times New Roman"/>
                <w:b/>
                <w:color w:val="595959" w:themeColor="text1" w:themeTint="A6"/>
                <w:spacing w:val="-3"/>
                <w:sz w:val="20"/>
                <w:szCs w:val="20"/>
              </w:rPr>
            </w:pPr>
            <w:r w:rsidRPr="001A5905">
              <w:rPr>
                <w:rFonts w:ascii="Century Gothic" w:hAnsi="Century Gothic"/>
                <w:b/>
                <w:color w:val="595959" w:themeColor="text1" w:themeTint="A6"/>
                <w:spacing w:val="-3"/>
                <w:sz w:val="20"/>
              </w:rPr>
              <w:t xml:space="preserve">PLAN D’ÉVALUATION DE LA PROGRESSION </w:t>
            </w:r>
            <w:r w:rsidRPr="001A5905">
              <w:rPr>
                <w:rFonts w:ascii="Century Gothic" w:hAnsi="Century Gothic"/>
                <w:color w:val="595959" w:themeColor="text1" w:themeTint="A6"/>
                <w:spacing w:val="-3"/>
                <w:sz w:val="20"/>
                <w:szCs w:val="20"/>
              </w:rPr>
              <w:t>— comment superviserons-nous la progression, contrôlerons la réussite et mettrons-nous en œuvre des révisions ?</w:t>
            </w:r>
          </w:p>
        </w:tc>
        <w:tc>
          <w:tcPr>
            <w:tcW w:w="10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65C710" w14:textId="6FD5E149" w:rsidR="007753F0" w:rsidRPr="007753F0" w:rsidRDefault="007753F0" w:rsidP="007753F0">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Établir un cadre solide pour examiner et évaluer régulièrement les progrès des initiatives stratégiques, y compris des examens trimestriels avec les parties prenantes et des rapports d’étape annuels à la communauté universitaire.</w:t>
            </w:r>
          </w:p>
        </w:tc>
      </w:tr>
      <w:tr w:rsidR="004F45A8" w:rsidRPr="004F45A8" w14:paraId="1CBE639D" w14:textId="77777777" w:rsidTr="001A5905">
        <w:trPr>
          <w:trHeight w:val="2079"/>
        </w:trPr>
        <w:tc>
          <w:tcPr>
            <w:tcW w:w="353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1A2E991E" w14:textId="58979D27" w:rsidR="00D315A9" w:rsidRPr="008F7A0B" w:rsidRDefault="007753F0"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ÉCHÉANCIER</w:t>
            </w:r>
          </w:p>
        </w:tc>
        <w:tc>
          <w:tcPr>
            <w:tcW w:w="10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9E7CA13" w14:textId="77777777" w:rsidR="00B411DC" w:rsidRPr="00B411DC" w:rsidRDefault="00B411DC" w:rsidP="00B411DC">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T1 : lancer une évaluation de la durabilité à l’échelle du campus et lancer la première phase de projets de neutralité carbone.</w:t>
            </w:r>
          </w:p>
          <w:p w14:paraId="2C401FAF" w14:textId="77777777" w:rsidR="00B411DC" w:rsidRPr="00B411DC" w:rsidRDefault="00B411DC" w:rsidP="00B411DC">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T2 : introduire de nouveaux programmes interdisciplinaires et commencer l’élaboration d’accords de partenariat internationaux.</w:t>
            </w:r>
          </w:p>
          <w:p w14:paraId="330C3BD1" w14:textId="77777777" w:rsidR="00B411DC" w:rsidRPr="00B411DC" w:rsidRDefault="00B411DC" w:rsidP="00B411DC">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T3 : mettre en œuvre des interventions ciblées pour améliorer la rétention des étudiants et élargir les programmes de services communautaires.</w:t>
            </w:r>
          </w:p>
          <w:p w14:paraId="08B4D790" w14:textId="775F8016" w:rsidR="00D315A9" w:rsidRPr="007753F0" w:rsidRDefault="00B411DC" w:rsidP="00B411DC">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T4 : effectuer la première révision annuelle des progrès du plan stratégique, ajuster les stratégies au besoin et célébrer les premiers succès dans les initiatives de durabilité et d’engagement mondial.</w:t>
            </w:r>
          </w:p>
        </w:tc>
      </w:tr>
    </w:tbl>
    <w:p w14:paraId="55DAA1FB" w14:textId="77777777" w:rsidR="0025175F" w:rsidRDefault="0025175F" w:rsidP="00DB2412"/>
    <w:p w14:paraId="3F850FAC" w14:textId="77777777" w:rsidR="0025175F" w:rsidRPr="004054B7" w:rsidRDefault="0025175F" w:rsidP="0025175F">
      <w:pPr>
        <w:rPr>
          <w:rFonts w:ascii="Century Gothic" w:hAnsi="Century Gothic" w:cs="Arial"/>
          <w:b/>
          <w:color w:val="808080" w:themeColor="background1" w:themeShade="80"/>
          <w:szCs w:val="36"/>
        </w:rPr>
      </w:pPr>
    </w:p>
    <w:tbl>
      <w:tblPr>
        <w:tblStyle w:val="TableGrid"/>
        <w:tblW w:w="139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50"/>
      </w:tblGrid>
      <w:tr w:rsidR="0025175F" w:rsidRPr="00FF18F5" w14:paraId="1BAA2093" w14:textId="77777777" w:rsidTr="008F7A0B">
        <w:trPr>
          <w:trHeight w:val="2826"/>
        </w:trPr>
        <w:tc>
          <w:tcPr>
            <w:tcW w:w="13950" w:type="dxa"/>
          </w:tcPr>
          <w:p w14:paraId="6EB70C21" w14:textId="77777777" w:rsidR="0025175F" w:rsidRPr="00FF18F5" w:rsidRDefault="0025175F" w:rsidP="00EF6034">
            <w:pPr>
              <w:jc w:val="center"/>
              <w:rPr>
                <w:rFonts w:ascii="Century Gothic" w:hAnsi="Century Gothic" w:cs="Arial"/>
                <w:b/>
                <w:sz w:val="20"/>
                <w:szCs w:val="20"/>
              </w:rPr>
            </w:pPr>
            <w:r>
              <w:rPr>
                <w:rFonts w:ascii="Century Gothic" w:hAnsi="Century Gothic"/>
                <w:b/>
                <w:sz w:val="20"/>
              </w:rPr>
              <w:t>EXCLUSION DE RESPONSABILITÉ</w:t>
            </w:r>
          </w:p>
          <w:p w14:paraId="7F59353C" w14:textId="77777777" w:rsidR="0025175F" w:rsidRPr="00FF18F5" w:rsidRDefault="0025175F" w:rsidP="00EF6034">
            <w:pPr>
              <w:rPr>
                <w:rFonts w:ascii="Century Gothic" w:hAnsi="Century Gothic" w:cs="Arial"/>
                <w:szCs w:val="20"/>
              </w:rPr>
            </w:pPr>
          </w:p>
          <w:p w14:paraId="1C5C4AB1" w14:textId="77777777" w:rsidR="0025175F" w:rsidRPr="00FF18F5" w:rsidRDefault="0025175F" w:rsidP="00EF6034">
            <w:pPr>
              <w:rPr>
                <w:rFonts w:ascii="Century Gothic" w:hAnsi="Century Gothic" w:cs="Arial"/>
                <w:sz w:val="20"/>
                <w:szCs w:val="20"/>
              </w:rPr>
            </w:pPr>
            <w:r>
              <w:rPr>
                <w:rFonts w:ascii="Century Gothic" w:hAnsi="Century Gothic"/>
              </w:rPr>
              <w:t xml:space="preserve">Tous les articles, modèles ou informations fournis par </w:t>
            </w:r>
            <w:proofErr w:type="spellStart"/>
            <w:r>
              <w:rPr>
                <w:rFonts w:ascii="Century Gothic" w:hAnsi="Century Gothic"/>
              </w:rPr>
              <w:t>Smartsheet</w:t>
            </w:r>
            <w:proofErr w:type="spellEnd"/>
            <w:r>
              <w:rPr>
                <w:rFonts w:ascii="Century Gothic" w:hAnsi="Century Gothic"/>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68B06AB0" w14:textId="77777777" w:rsidR="0025175F" w:rsidRPr="00CC174F" w:rsidRDefault="0025175F" w:rsidP="0025175F">
      <w:pPr>
        <w:rPr>
          <w:rFonts w:ascii="Century Gothic" w:hAnsi="Century Gothic"/>
        </w:rPr>
      </w:pPr>
    </w:p>
    <w:p w14:paraId="52F9C01F" w14:textId="77777777" w:rsidR="0025175F" w:rsidRDefault="0025175F" w:rsidP="0025175F">
      <w:pPr>
        <w:rPr>
          <w:rFonts w:ascii="Century Gothic" w:hAnsi="Century Gothic"/>
        </w:rPr>
      </w:pPr>
    </w:p>
    <w:p w14:paraId="524C4B77" w14:textId="77777777" w:rsidR="0025175F" w:rsidRDefault="0025175F" w:rsidP="0025175F">
      <w:pPr>
        <w:rPr>
          <w:rFonts w:ascii="Century Gothic" w:hAnsi="Century Gothic"/>
        </w:rPr>
      </w:pPr>
    </w:p>
    <w:p w14:paraId="53F7E4C7" w14:textId="77777777" w:rsidR="0025175F" w:rsidRDefault="0025175F" w:rsidP="00DB2412"/>
    <w:sectPr w:rsidR="0025175F" w:rsidSect="008F7A0B">
      <w:headerReference w:type="default" r:id="rId9"/>
      <w:pgSz w:w="15840" w:h="12240" w:orient="landscape"/>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CE12B" w14:textId="77777777" w:rsidR="00DF6F55" w:rsidRDefault="00DF6F55" w:rsidP="00DB2412">
      <w:r>
        <w:separator/>
      </w:r>
    </w:p>
  </w:endnote>
  <w:endnote w:type="continuationSeparator" w:id="0">
    <w:p w14:paraId="4713A391" w14:textId="77777777" w:rsidR="00DF6F55" w:rsidRDefault="00DF6F5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9D5A" w14:textId="77777777" w:rsidR="00DF6F55" w:rsidRDefault="00DF6F55" w:rsidP="00DB2412">
      <w:r>
        <w:separator/>
      </w:r>
    </w:p>
  </w:footnote>
  <w:footnote w:type="continuationSeparator" w:id="0">
    <w:p w14:paraId="73B93392" w14:textId="77777777" w:rsidR="00DF6F55" w:rsidRDefault="00DF6F5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FA301" w14:textId="77777777" w:rsidR="00DB2412" w:rsidRDefault="00DB2412"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4100"/>
    <w:multiLevelType w:val="hybridMultilevel"/>
    <w:tmpl w:val="E36C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D4B3E"/>
    <w:multiLevelType w:val="hybridMultilevel"/>
    <w:tmpl w:val="8AA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B5A75"/>
    <w:multiLevelType w:val="hybridMultilevel"/>
    <w:tmpl w:val="EE62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11929"/>
    <w:multiLevelType w:val="hybridMultilevel"/>
    <w:tmpl w:val="CF6C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613155">
    <w:abstractNumId w:val="1"/>
  </w:num>
  <w:num w:numId="2" w16cid:durableId="1744520098">
    <w:abstractNumId w:val="2"/>
  </w:num>
  <w:num w:numId="3" w16cid:durableId="1886792079">
    <w:abstractNumId w:val="0"/>
  </w:num>
  <w:num w:numId="4" w16cid:durableId="99630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B"/>
    <w:rsid w:val="00044078"/>
    <w:rsid w:val="00055227"/>
    <w:rsid w:val="000614F5"/>
    <w:rsid w:val="000B292E"/>
    <w:rsid w:val="000E39FF"/>
    <w:rsid w:val="0011645E"/>
    <w:rsid w:val="001A5905"/>
    <w:rsid w:val="001A7FC6"/>
    <w:rsid w:val="00203649"/>
    <w:rsid w:val="00225E8E"/>
    <w:rsid w:val="002436B5"/>
    <w:rsid w:val="00246934"/>
    <w:rsid w:val="0025175F"/>
    <w:rsid w:val="0026521A"/>
    <w:rsid w:val="0026759B"/>
    <w:rsid w:val="002A079D"/>
    <w:rsid w:val="002E45D2"/>
    <w:rsid w:val="00311343"/>
    <w:rsid w:val="0035548E"/>
    <w:rsid w:val="00396798"/>
    <w:rsid w:val="00471C74"/>
    <w:rsid w:val="004937B7"/>
    <w:rsid w:val="004D3423"/>
    <w:rsid w:val="004F45A8"/>
    <w:rsid w:val="005A4458"/>
    <w:rsid w:val="00663EA6"/>
    <w:rsid w:val="00674F2B"/>
    <w:rsid w:val="006E6A19"/>
    <w:rsid w:val="006F79F6"/>
    <w:rsid w:val="007753F0"/>
    <w:rsid w:val="007B0253"/>
    <w:rsid w:val="007C3C3C"/>
    <w:rsid w:val="007C4648"/>
    <w:rsid w:val="007D066D"/>
    <w:rsid w:val="007D603C"/>
    <w:rsid w:val="007F0A36"/>
    <w:rsid w:val="008F7A0B"/>
    <w:rsid w:val="00946F30"/>
    <w:rsid w:val="009868C9"/>
    <w:rsid w:val="00AA48E0"/>
    <w:rsid w:val="00AB57B0"/>
    <w:rsid w:val="00AD364F"/>
    <w:rsid w:val="00AF5755"/>
    <w:rsid w:val="00B343E8"/>
    <w:rsid w:val="00B411DC"/>
    <w:rsid w:val="00BD420D"/>
    <w:rsid w:val="00BE4100"/>
    <w:rsid w:val="00C170EF"/>
    <w:rsid w:val="00C45BF5"/>
    <w:rsid w:val="00D1001E"/>
    <w:rsid w:val="00D315A9"/>
    <w:rsid w:val="00DB2412"/>
    <w:rsid w:val="00DF1DBC"/>
    <w:rsid w:val="00DF6F55"/>
    <w:rsid w:val="00E25329"/>
    <w:rsid w:val="00E34881"/>
    <w:rsid w:val="00E94F29"/>
    <w:rsid w:val="00EC41EB"/>
    <w:rsid w:val="00EF3E3A"/>
    <w:rsid w:val="00F0787B"/>
    <w:rsid w:val="00F76C42"/>
    <w:rsid w:val="00FC0555"/>
    <w:rsid w:val="00FC7E01"/>
    <w:rsid w:val="00FD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E87DF"/>
  <w15:docId w15:val="{C74662ED-E910-4EEA-B853-B222D30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table" w:styleId="TableGrid">
    <w:name w:val="Table Grid"/>
    <w:basedOn w:val="TableNormal"/>
    <w:uiPriority w:val="99"/>
    <w:rsid w:val="002517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EA6"/>
    <w:rPr>
      <w:color w:val="0563C1" w:themeColor="hyperlink"/>
      <w:u w:val="single"/>
    </w:rPr>
  </w:style>
  <w:style w:type="character" w:styleId="UnresolvedMention">
    <w:name w:val="Unresolved Mention"/>
    <w:basedOn w:val="DefaultParagraphFont"/>
    <w:uiPriority w:val="99"/>
    <w:semiHidden/>
    <w:unhideWhenUsed/>
    <w:rsid w:val="00663EA6"/>
    <w:rPr>
      <w:color w:val="808080"/>
      <w:shd w:val="clear" w:color="auto" w:fill="E6E6E6"/>
    </w:rPr>
  </w:style>
  <w:style w:type="paragraph" w:styleId="ListParagraph">
    <w:name w:val="List Paragraph"/>
    <w:basedOn w:val="Normal"/>
    <w:uiPriority w:val="34"/>
    <w:qFormat/>
    <w:rsid w:val="00AD3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83742311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1906522936">
      <w:bodyDiv w:val="1"/>
      <w:marLeft w:val="0"/>
      <w:marRight w:val="0"/>
      <w:marTop w:val="0"/>
      <w:marBottom w:val="0"/>
      <w:divBdr>
        <w:top w:val="none" w:sz="0" w:space="0" w:color="auto"/>
        <w:left w:val="none" w:sz="0" w:space="0" w:color="auto"/>
        <w:bottom w:val="none" w:sz="0" w:space="0" w:color="auto"/>
        <w:right w:val="none" w:sz="0" w:space="0" w:color="auto"/>
      </w:divBdr>
    </w:div>
    <w:div w:id="2057119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9-IC-University-Strategic-Plan-Outline-8658-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ref9-IC-University-Strategic-Plan-Outline-8658-WORD.dotx</Template>
  <TotalTime>26</TotalTime>
  <Pages>3</Pages>
  <Words>952</Words>
  <Characters>5433</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Chris Green</cp:lastModifiedBy>
  <cp:revision>20</cp:revision>
  <cp:lastPrinted>2024-11-13T07:54:00Z</cp:lastPrinted>
  <dcterms:created xsi:type="dcterms:W3CDTF">2024-03-19T23:21:00Z</dcterms:created>
  <dcterms:modified xsi:type="dcterms:W3CDTF">2024-11-14T07:21:00Z</dcterms:modified>
</cp:coreProperties>
</file>