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7FAC6" w14:textId="79EBE197" w:rsidR="006034DB" w:rsidRPr="006034DB" w:rsidRDefault="00917BF3" w:rsidP="006034DB">
      <w:pPr>
        <w:rPr>
          <w:rFonts w:ascii="Century Gothic" w:hAnsi="Century Gothic"/>
          <w:b/>
          <w:bCs/>
          <w:color w:val="595959" w:themeColor="text1" w:themeTint="A6"/>
          <w:kern w:val="0"/>
          <w:sz w:val="52"/>
          <w:szCs w:val="52"/>
        </w:rPr>
      </w:pPr>
      <w:r>
        <w:rPr>
          <w:noProof/>
        </w:rPr>
        <w:drawing>
          <wp:anchor distT="0" distB="0" distL="114300" distR="114300" simplePos="0" relativeHeight="251661312" behindDoc="0" locked="0" layoutInCell="1" allowOverlap="1" wp14:anchorId="296A4B8D" wp14:editId="0C4964BA">
            <wp:simplePos x="0" y="0"/>
            <wp:positionH relativeFrom="column">
              <wp:posOffset>6423660</wp:posOffset>
            </wp:positionH>
            <wp:positionV relativeFrom="paragraph">
              <wp:posOffset>86360</wp:posOffset>
            </wp:positionV>
            <wp:extent cx="2585720" cy="514350"/>
            <wp:effectExtent l="0" t="0" r="5080" b="0"/>
            <wp:wrapNone/>
            <wp:docPr id="789022919" name="Picture 2" descr="A blue background with white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22919" name="Picture 2" descr="A blue background with white text&#10;&#10;Description automatically generated">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85720" cy="514350"/>
                    </a:xfrm>
                    <a:prstGeom prst="rect">
                      <a:avLst/>
                    </a:prstGeom>
                  </pic:spPr>
                </pic:pic>
              </a:graphicData>
            </a:graphic>
            <wp14:sizeRelH relativeFrom="page">
              <wp14:pctWidth>0</wp14:pctWidth>
            </wp14:sizeRelH>
            <wp14:sizeRelV relativeFrom="page">
              <wp14:pctHeight>0</wp14:pctHeight>
            </wp14:sizeRelV>
          </wp:anchor>
        </w:drawing>
      </w:r>
      <w:r w:rsidR="006034DB">
        <w:rPr>
          <w:rFonts w:ascii="Century Gothic" w:hAnsi="Century Gothic"/>
          <w:b/>
          <w:color w:val="595959" w:themeColor="text1" w:themeTint="A6"/>
          <w:kern w:val="0"/>
          <w:sz w:val="52"/>
        </w:rPr>
        <w:t xml:space="preserve">MODÈLE D’ÉTUDE COMPARATIVE </w:t>
      </w:r>
      <w:r w:rsidR="006034DB" w:rsidRPr="006034DB">
        <w:rPr>
          <w:rFonts w:ascii="Century Gothic" w:hAnsi="Century Gothic"/>
          <w:b/>
          <w:bCs/>
          <w:color w:val="595959" w:themeColor="text1" w:themeTint="A6"/>
          <w:kern w:val="0"/>
          <w:sz w:val="52"/>
          <w:szCs w:val="52"/>
        </w:rPr>
        <w:br/>
      </w:r>
      <w:r w:rsidR="006034DB">
        <w:rPr>
          <w:rFonts w:ascii="Century Gothic" w:hAnsi="Century Gothic"/>
          <w:b/>
          <w:color w:val="595959" w:themeColor="text1" w:themeTint="A6"/>
          <w:kern w:val="0"/>
          <w:sz w:val="52"/>
        </w:rPr>
        <w:t>pour Microsoft Word - EXEMPLE</w:t>
      </w:r>
    </w:p>
    <w:p w14:paraId="687C4C87" w14:textId="77777777" w:rsidR="006034DB" w:rsidRPr="006034DB" w:rsidRDefault="006034DB" w:rsidP="006034DB">
      <w:pPr>
        <w:rPr>
          <w:rFonts w:ascii="Century Gothic" w:hAnsi="Century Gothic"/>
          <w:color w:val="ACB9CA" w:themeColor="text2" w:themeTint="66"/>
          <w:kern w:val="0"/>
          <w:sz w:val="64"/>
          <w:szCs w:val="64"/>
        </w:rPr>
      </w:pPr>
      <w:r w:rsidRPr="006034DB">
        <w:rPr>
          <w:rFonts w:ascii="Century Gothic" w:hAnsi="Century Gothic"/>
          <w:noProof/>
          <w:color w:val="ACB9CA" w:themeColor="text2" w:themeTint="66"/>
          <w:kern w:val="0"/>
          <w:sz w:val="64"/>
          <w:szCs w:val="64"/>
        </w:rPr>
        <w:drawing>
          <wp:anchor distT="0" distB="0" distL="114300" distR="114300" simplePos="0" relativeHeight="251660288" behindDoc="0" locked="0" layoutInCell="1" allowOverlap="1" wp14:anchorId="64E9C320" wp14:editId="073E4F13">
            <wp:simplePos x="0" y="0"/>
            <wp:positionH relativeFrom="column">
              <wp:posOffset>5818505</wp:posOffset>
            </wp:positionH>
            <wp:positionV relativeFrom="paragraph">
              <wp:posOffset>426085</wp:posOffset>
            </wp:positionV>
            <wp:extent cx="3190825" cy="2631809"/>
            <wp:effectExtent l="0" t="0" r="0" b="0"/>
            <wp:wrapNone/>
            <wp:docPr id="2026189595" name="Picture 3" descr="Layered hosta plant fan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9595" name="Picture 2026189595" descr="Layered hosta plant fan patter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0825" cy="2631809"/>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ACB9CA" w:themeColor="text2" w:themeTint="66"/>
          <w:kern w:val="0"/>
          <w:sz w:val="64"/>
        </w:rPr>
        <w:t>POSITIVE CHARGE</w:t>
      </w:r>
    </w:p>
    <w:p w14:paraId="0390C5A4" w14:textId="77777777" w:rsidR="006034DB" w:rsidRPr="006034DB" w:rsidRDefault="006034DB" w:rsidP="006034DB">
      <w:pPr>
        <w:rPr>
          <w:rFonts w:ascii="Century Gothic" w:hAnsi="Century Gothic"/>
          <w:color w:val="2E74B5" w:themeColor="accent5" w:themeShade="BF"/>
          <w:kern w:val="0"/>
          <w:sz w:val="84"/>
          <w:szCs w:val="84"/>
        </w:rPr>
      </w:pPr>
    </w:p>
    <w:p w14:paraId="63FADBF3" w14:textId="77777777" w:rsidR="006034DB" w:rsidRPr="006034DB" w:rsidRDefault="006034DB" w:rsidP="006034DB">
      <w:pPr>
        <w:rPr>
          <w:rFonts w:ascii="Century Gothic" w:hAnsi="Century Gothic"/>
          <w:color w:val="2E74B5" w:themeColor="accent5" w:themeShade="BF"/>
          <w:kern w:val="0"/>
          <w:sz w:val="84"/>
          <w:szCs w:val="84"/>
        </w:rPr>
      </w:pPr>
    </w:p>
    <w:p w14:paraId="29D4DC09" w14:textId="77777777" w:rsidR="006034DB" w:rsidRPr="006034DB" w:rsidRDefault="006034DB" w:rsidP="006034DB">
      <w:pPr>
        <w:rPr>
          <w:rFonts w:ascii="Century Gothic" w:hAnsi="Century Gothic"/>
          <w:color w:val="2E74B5" w:themeColor="accent5" w:themeShade="BF"/>
          <w:kern w:val="0"/>
          <w:sz w:val="84"/>
          <w:szCs w:val="84"/>
        </w:rPr>
      </w:pPr>
    </w:p>
    <w:tbl>
      <w:tblPr>
        <w:tblStyle w:val="TableGrid"/>
        <w:tblW w:w="14029" w:type="dxa"/>
        <w:tblLook w:val="04A0" w:firstRow="1" w:lastRow="0" w:firstColumn="1" w:lastColumn="0" w:noHBand="0" w:noVBand="1"/>
      </w:tblPr>
      <w:tblGrid>
        <w:gridCol w:w="3139"/>
        <w:gridCol w:w="10890"/>
      </w:tblGrid>
      <w:tr w:rsidR="006034DB" w:rsidRPr="006034DB" w14:paraId="5E781350" w14:textId="77777777" w:rsidTr="00917BF3">
        <w:trPr>
          <w:trHeight w:val="576"/>
        </w:trPr>
        <w:tc>
          <w:tcPr>
            <w:tcW w:w="3139" w:type="dxa"/>
            <w:shd w:val="clear" w:color="auto" w:fill="FBE4D5" w:themeFill="accent2" w:themeFillTint="33"/>
            <w:vAlign w:val="center"/>
          </w:tcPr>
          <w:p w14:paraId="660A082E"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CONTACT</w:t>
            </w:r>
          </w:p>
        </w:tc>
        <w:tc>
          <w:tcPr>
            <w:tcW w:w="10890" w:type="dxa"/>
            <w:shd w:val="clear" w:color="auto" w:fill="FFFFFF" w:themeFill="background1"/>
            <w:vAlign w:val="center"/>
          </w:tcPr>
          <w:p w14:paraId="29E8AE6B"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Romy Bailey</w:t>
            </w:r>
          </w:p>
        </w:tc>
      </w:tr>
      <w:tr w:rsidR="006034DB" w:rsidRPr="006034DB" w14:paraId="7A5F588D" w14:textId="77777777" w:rsidTr="00917BF3">
        <w:trPr>
          <w:trHeight w:val="576"/>
        </w:trPr>
        <w:tc>
          <w:tcPr>
            <w:tcW w:w="3139" w:type="dxa"/>
            <w:shd w:val="clear" w:color="auto" w:fill="FBE4D5" w:themeFill="accent2" w:themeFillTint="33"/>
            <w:vAlign w:val="center"/>
          </w:tcPr>
          <w:p w14:paraId="3F89D91A"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ADRESSE</w:t>
            </w:r>
          </w:p>
        </w:tc>
        <w:tc>
          <w:tcPr>
            <w:tcW w:w="10890" w:type="dxa"/>
            <w:shd w:val="clear" w:color="auto" w:fill="FFFFFF" w:themeFill="background1"/>
            <w:vAlign w:val="center"/>
          </w:tcPr>
          <w:p w14:paraId="265A89A5"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123 Main Street, Suite 123</w:t>
            </w:r>
          </w:p>
        </w:tc>
      </w:tr>
      <w:tr w:rsidR="006034DB" w:rsidRPr="006034DB" w14:paraId="3A5C26C5" w14:textId="77777777" w:rsidTr="00917BF3">
        <w:trPr>
          <w:trHeight w:val="576"/>
        </w:trPr>
        <w:tc>
          <w:tcPr>
            <w:tcW w:w="3139" w:type="dxa"/>
            <w:shd w:val="clear" w:color="auto" w:fill="FBE4D5" w:themeFill="accent2" w:themeFillTint="33"/>
            <w:vAlign w:val="center"/>
          </w:tcPr>
          <w:p w14:paraId="36D522B8"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ADRESSE </w:t>
            </w:r>
            <w:proofErr w:type="gramStart"/>
            <w:r>
              <w:rPr>
                <w:rFonts w:ascii="Century Gothic" w:hAnsi="Century Gothic"/>
                <w:color w:val="595959" w:themeColor="text1" w:themeTint="A6"/>
                <w:kern w:val="0"/>
                <w:sz w:val="24"/>
              </w:rPr>
              <w:t>E-MAIL</w:t>
            </w:r>
            <w:proofErr w:type="gramEnd"/>
          </w:p>
        </w:tc>
        <w:tc>
          <w:tcPr>
            <w:tcW w:w="10890" w:type="dxa"/>
            <w:shd w:val="clear" w:color="auto" w:fill="FFFFFF" w:themeFill="background1"/>
            <w:vAlign w:val="center"/>
          </w:tcPr>
          <w:p w14:paraId="29A1AC4F"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Adresse </w:t>
            </w:r>
            <w:proofErr w:type="gramStart"/>
            <w:r>
              <w:rPr>
                <w:rFonts w:ascii="Century Gothic" w:hAnsi="Century Gothic"/>
                <w:color w:val="595959" w:themeColor="text1" w:themeTint="A6"/>
                <w:kern w:val="0"/>
                <w:sz w:val="24"/>
              </w:rPr>
              <w:t>e-mail</w:t>
            </w:r>
            <w:proofErr w:type="gramEnd"/>
          </w:p>
        </w:tc>
      </w:tr>
      <w:tr w:rsidR="006034DB" w:rsidRPr="006034DB" w14:paraId="2C8FCAAF" w14:textId="77777777" w:rsidTr="00917BF3">
        <w:trPr>
          <w:trHeight w:val="576"/>
        </w:trPr>
        <w:tc>
          <w:tcPr>
            <w:tcW w:w="3139" w:type="dxa"/>
            <w:shd w:val="clear" w:color="auto" w:fill="FBE4D5" w:themeFill="accent2" w:themeFillTint="33"/>
            <w:vAlign w:val="center"/>
          </w:tcPr>
          <w:p w14:paraId="7C4825C2"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NUMÉRO DE TÉLÉPHONE</w:t>
            </w:r>
          </w:p>
        </w:tc>
        <w:tc>
          <w:tcPr>
            <w:tcW w:w="10890" w:type="dxa"/>
            <w:shd w:val="clear" w:color="auto" w:fill="FFFFFF" w:themeFill="background1"/>
            <w:vAlign w:val="center"/>
          </w:tcPr>
          <w:p w14:paraId="76DD8DA4"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Numéro de téléphone</w:t>
            </w:r>
          </w:p>
        </w:tc>
      </w:tr>
      <w:tr w:rsidR="006034DB" w:rsidRPr="006034DB" w14:paraId="47BE1FB8" w14:textId="77777777" w:rsidTr="00917BF3">
        <w:trPr>
          <w:trHeight w:val="576"/>
        </w:trPr>
        <w:tc>
          <w:tcPr>
            <w:tcW w:w="3139" w:type="dxa"/>
            <w:shd w:val="clear" w:color="auto" w:fill="FBE4D5" w:themeFill="accent2" w:themeFillTint="33"/>
            <w:vAlign w:val="center"/>
          </w:tcPr>
          <w:p w14:paraId="235F6A07"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RÉDIGÉ PAR</w:t>
            </w:r>
          </w:p>
        </w:tc>
        <w:tc>
          <w:tcPr>
            <w:tcW w:w="10890" w:type="dxa"/>
            <w:shd w:val="clear" w:color="auto" w:fill="FFFFFF" w:themeFill="background1"/>
            <w:vAlign w:val="center"/>
          </w:tcPr>
          <w:p w14:paraId="1E7348D7"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Lori Garcia</w:t>
            </w:r>
          </w:p>
        </w:tc>
      </w:tr>
      <w:tr w:rsidR="006034DB" w:rsidRPr="006034DB" w14:paraId="7249C65B" w14:textId="77777777" w:rsidTr="00917BF3">
        <w:trPr>
          <w:trHeight w:val="576"/>
        </w:trPr>
        <w:tc>
          <w:tcPr>
            <w:tcW w:w="3139" w:type="dxa"/>
            <w:shd w:val="clear" w:color="auto" w:fill="FBE4D5" w:themeFill="accent2" w:themeFillTint="33"/>
            <w:vAlign w:val="center"/>
          </w:tcPr>
          <w:p w14:paraId="63D3B7D9" w14:textId="77777777" w:rsidR="006034DB" w:rsidRPr="006034DB" w:rsidRDefault="006034DB"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DATE</w:t>
            </w:r>
          </w:p>
        </w:tc>
        <w:tc>
          <w:tcPr>
            <w:tcW w:w="10890" w:type="dxa"/>
            <w:shd w:val="clear" w:color="auto" w:fill="FFFFFF" w:themeFill="background1"/>
            <w:vAlign w:val="center"/>
          </w:tcPr>
          <w:p w14:paraId="4C40F026"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JJ/MM/AA</w:t>
            </w:r>
          </w:p>
        </w:tc>
      </w:tr>
    </w:tbl>
    <w:p w14:paraId="3E4859AE" w14:textId="77777777" w:rsidR="00915951" w:rsidRDefault="00915951">
      <w:pPr>
        <w:rPr>
          <w:rFonts w:ascii="Century Gothic" w:hAnsi="Century Gothic"/>
          <w:color w:val="8496B0" w:themeColor="text2" w:themeTint="99"/>
          <w:kern w:val="0"/>
          <w:sz w:val="44"/>
        </w:rPr>
      </w:pPr>
      <w:r>
        <w:rPr>
          <w:rFonts w:ascii="Century Gothic" w:hAnsi="Century Gothic"/>
          <w:color w:val="8496B0" w:themeColor="text2" w:themeTint="99"/>
          <w:kern w:val="0"/>
          <w:sz w:val="44"/>
        </w:rPr>
        <w:br w:type="page"/>
      </w:r>
    </w:p>
    <w:p w14:paraId="134B881F" w14:textId="2EDBB8AC" w:rsidR="006034DB" w:rsidRPr="006034DB" w:rsidRDefault="006034DB" w:rsidP="006034DB">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COMPARAISON CÔTE À CÔTE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5"/>
        <w:gridCol w:w="6750"/>
      </w:tblGrid>
      <w:tr w:rsidR="006034DB" w:rsidRPr="006034DB" w14:paraId="68D97AB0" w14:textId="77777777" w:rsidTr="00915951">
        <w:trPr>
          <w:trHeight w:val="872"/>
        </w:trPr>
        <w:tc>
          <w:tcPr>
            <w:tcW w:w="14215" w:type="dxa"/>
            <w:gridSpan w:val="2"/>
            <w:vAlign w:val="center"/>
          </w:tcPr>
          <w:p w14:paraId="53B1D8DD" w14:textId="77777777" w:rsidR="006034DB" w:rsidRPr="006034DB" w:rsidRDefault="006034DB"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Sur le côté gauche, décrivez le premier élément, le premier concept ou la première stratégie que vous comparez, en détaillant ses caractéristiques clés, ses avantages et ses potentiels inconvénients. À droite, faites de même pour le deuxième élément, le deuxième concept ou la deuxième stratégie. Cette disposition est idéale pour réaliser une comparaison approfondie de deux éléments différents.</w:t>
            </w:r>
          </w:p>
        </w:tc>
      </w:tr>
      <w:tr w:rsidR="006034DB" w:rsidRPr="006034DB" w14:paraId="7D6D98F6" w14:textId="77777777" w:rsidTr="00470E87">
        <w:trPr>
          <w:trHeight w:val="620"/>
        </w:trPr>
        <w:tc>
          <w:tcPr>
            <w:tcW w:w="7465" w:type="dxa"/>
            <w:shd w:val="clear" w:color="auto" w:fill="FBE4D5" w:themeFill="accent2" w:themeFillTint="33"/>
            <w:vAlign w:val="center"/>
          </w:tcPr>
          <w:p w14:paraId="7A449B0F"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Bornes de recharge traditionnelles de Positive Charge :</w:t>
            </w:r>
          </w:p>
        </w:tc>
        <w:tc>
          <w:tcPr>
            <w:tcW w:w="6750" w:type="dxa"/>
            <w:shd w:val="clear" w:color="auto" w:fill="FBE4D5" w:themeFill="accent2" w:themeFillTint="33"/>
            <w:vAlign w:val="center"/>
          </w:tcPr>
          <w:p w14:paraId="34FD8895"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Bornes de recharge haut débit de Positive Charge :</w:t>
            </w:r>
          </w:p>
        </w:tc>
      </w:tr>
      <w:tr w:rsidR="006034DB" w:rsidRPr="006034DB" w14:paraId="25D5315F" w14:textId="77777777" w:rsidTr="00917BF3">
        <w:trPr>
          <w:trHeight w:val="1070"/>
        </w:trPr>
        <w:tc>
          <w:tcPr>
            <w:tcW w:w="7465" w:type="dxa"/>
            <w:vAlign w:val="center"/>
          </w:tcPr>
          <w:p w14:paraId="70921797"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Vitesse de recharge standard, localisation dans des zones commerciales, taux d’utilisation modérés.</w:t>
            </w:r>
          </w:p>
        </w:tc>
        <w:tc>
          <w:tcPr>
            <w:tcW w:w="6750" w:type="dxa"/>
            <w:vAlign w:val="center"/>
          </w:tcPr>
          <w:p w14:paraId="2F9FF05F"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Technologie de recharge rapide, placement stratégique au niveau de centres logistiques, taux d’utilisation et d’efficacité élevés.</w:t>
            </w:r>
          </w:p>
        </w:tc>
      </w:tr>
    </w:tbl>
    <w:p w14:paraId="7ED3E093" w14:textId="77777777" w:rsidR="006034DB" w:rsidRPr="006034DB" w:rsidRDefault="006034DB" w:rsidP="006034DB">
      <w:pPr>
        <w:rPr>
          <w:rFonts w:ascii="Century Gothic" w:hAnsi="Century Gothic"/>
          <w:color w:val="ACB9CA" w:themeColor="text2" w:themeTint="66"/>
          <w:kern w:val="0"/>
          <w:sz w:val="44"/>
          <w:szCs w:val="44"/>
        </w:rPr>
      </w:pPr>
    </w:p>
    <w:p w14:paraId="215B6A28" w14:textId="77777777" w:rsidR="006034DB" w:rsidRPr="006034DB" w:rsidRDefault="006034DB" w:rsidP="006034DB">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t>ANNÉE PASSÉE PAR RAPPORT À L’ANNÉE EN COURS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320"/>
        <w:gridCol w:w="3780"/>
        <w:gridCol w:w="4405"/>
      </w:tblGrid>
      <w:tr w:rsidR="006034DB" w:rsidRPr="006034DB" w14:paraId="7B1844B9" w14:textId="77777777" w:rsidTr="00915951">
        <w:trPr>
          <w:trHeight w:val="1187"/>
        </w:trPr>
        <w:tc>
          <w:tcPr>
            <w:tcW w:w="14390" w:type="dxa"/>
            <w:gridSpan w:val="4"/>
            <w:vAlign w:val="center"/>
          </w:tcPr>
          <w:p w14:paraId="4B0432A8" w14:textId="77777777" w:rsidR="006034DB" w:rsidRPr="006034DB" w:rsidRDefault="006034DB"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Pour chacun des éléments, fournissez une brève analyse comparant les données de l’année passée et de l’année en cours. Expliquez l’importance des changements qui se sont produits et ce qu’ils indiquent en matière de performances, de tendances ou d’améliorations. Comparez les performances ou les progrès annuels. Indiquez des pourcentages pertinents et expliquez brièvement pourquoi chaque élément a changé ou est resté stable au fil des ans.</w:t>
            </w:r>
          </w:p>
        </w:tc>
      </w:tr>
      <w:tr w:rsidR="006034DB" w:rsidRPr="006034DB" w14:paraId="50A4F3C1" w14:textId="77777777" w:rsidTr="00917BF3">
        <w:trPr>
          <w:trHeight w:val="620"/>
        </w:trPr>
        <w:tc>
          <w:tcPr>
            <w:tcW w:w="1885" w:type="dxa"/>
            <w:shd w:val="clear" w:color="auto" w:fill="D9E2F3" w:themeFill="accent1" w:themeFillTint="33"/>
          </w:tcPr>
          <w:p w14:paraId="6D116A69" w14:textId="77777777" w:rsidR="006034DB" w:rsidRPr="006034DB" w:rsidRDefault="006034DB" w:rsidP="00470E87">
            <w:pPr>
              <w:rPr>
                <w:rFonts w:ascii="Century Gothic" w:hAnsi="Century Gothic"/>
                <w:color w:val="595959" w:themeColor="text1" w:themeTint="A6"/>
                <w:kern w:val="0"/>
                <w:sz w:val="24"/>
                <w:szCs w:val="24"/>
              </w:rPr>
            </w:pPr>
          </w:p>
        </w:tc>
        <w:tc>
          <w:tcPr>
            <w:tcW w:w="4320" w:type="dxa"/>
            <w:shd w:val="clear" w:color="auto" w:fill="D9E2F3" w:themeFill="accent1" w:themeFillTint="33"/>
            <w:vAlign w:val="center"/>
          </w:tcPr>
          <w:p w14:paraId="502C2C10"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20XX</w:t>
            </w:r>
          </w:p>
        </w:tc>
        <w:tc>
          <w:tcPr>
            <w:tcW w:w="3780" w:type="dxa"/>
            <w:shd w:val="clear" w:color="auto" w:fill="D9E2F3" w:themeFill="accent1" w:themeFillTint="33"/>
            <w:vAlign w:val="center"/>
          </w:tcPr>
          <w:p w14:paraId="49A34DA2"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20XX</w:t>
            </w:r>
          </w:p>
        </w:tc>
        <w:tc>
          <w:tcPr>
            <w:tcW w:w="4405" w:type="dxa"/>
            <w:shd w:val="clear" w:color="auto" w:fill="D9E2F3" w:themeFill="accent1" w:themeFillTint="33"/>
            <w:vAlign w:val="center"/>
          </w:tcPr>
          <w:p w14:paraId="18E6284E"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REMARQUES</w:t>
            </w:r>
          </w:p>
        </w:tc>
      </w:tr>
      <w:tr w:rsidR="006034DB" w:rsidRPr="006034DB" w14:paraId="34EEB8A7" w14:textId="77777777" w:rsidTr="00917BF3">
        <w:trPr>
          <w:trHeight w:val="1097"/>
        </w:trPr>
        <w:tc>
          <w:tcPr>
            <w:tcW w:w="1885" w:type="dxa"/>
            <w:shd w:val="clear" w:color="auto" w:fill="FBE4D5" w:themeFill="accent2" w:themeFillTint="33"/>
            <w:vAlign w:val="center"/>
          </w:tcPr>
          <w:p w14:paraId="63280E86"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1</w:t>
            </w:r>
          </w:p>
        </w:tc>
        <w:tc>
          <w:tcPr>
            <w:tcW w:w="4320" w:type="dxa"/>
            <w:vAlign w:val="center"/>
          </w:tcPr>
          <w:p w14:paraId="12C21B9A"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ÉCOULÉE : 25 % de temps d’arrêt en raison du nombre limité de bornes de recharge.</w:t>
            </w:r>
          </w:p>
        </w:tc>
        <w:tc>
          <w:tcPr>
            <w:tcW w:w="3780" w:type="dxa"/>
            <w:vAlign w:val="center"/>
          </w:tcPr>
          <w:p w14:paraId="3BA98C28"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EN COURS : grâce aux nouvelles bornes, les temps d’arrêt sont passés à 15 %.</w:t>
            </w:r>
          </w:p>
        </w:tc>
        <w:tc>
          <w:tcPr>
            <w:tcW w:w="4405" w:type="dxa"/>
            <w:vAlign w:val="center"/>
          </w:tcPr>
          <w:p w14:paraId="7272B09F"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Temps d’arrêt réduits de 40 % grâce à l’ajout de nouvelles bornes de recharge.</w:t>
            </w:r>
          </w:p>
        </w:tc>
      </w:tr>
      <w:tr w:rsidR="006034DB" w:rsidRPr="006034DB" w14:paraId="6AE14DCC" w14:textId="77777777" w:rsidTr="00917BF3">
        <w:trPr>
          <w:trHeight w:val="1094"/>
        </w:trPr>
        <w:tc>
          <w:tcPr>
            <w:tcW w:w="1885" w:type="dxa"/>
            <w:shd w:val="clear" w:color="auto" w:fill="FBE4D5" w:themeFill="accent2" w:themeFillTint="33"/>
            <w:vAlign w:val="center"/>
          </w:tcPr>
          <w:p w14:paraId="452E9FEE"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2</w:t>
            </w:r>
          </w:p>
        </w:tc>
        <w:tc>
          <w:tcPr>
            <w:tcW w:w="4320" w:type="dxa"/>
            <w:vAlign w:val="center"/>
          </w:tcPr>
          <w:p w14:paraId="28BA4F52"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ÉCOULÉE : taux de satisfaction client de 70 %.</w:t>
            </w:r>
          </w:p>
        </w:tc>
        <w:tc>
          <w:tcPr>
            <w:tcW w:w="3780" w:type="dxa"/>
            <w:vAlign w:val="center"/>
          </w:tcPr>
          <w:p w14:paraId="0E81B8CF"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EN COURS : taux de satisfaction client de 85 %.</w:t>
            </w:r>
          </w:p>
        </w:tc>
        <w:tc>
          <w:tcPr>
            <w:tcW w:w="4405" w:type="dxa"/>
            <w:vAlign w:val="center"/>
          </w:tcPr>
          <w:p w14:paraId="219BA3A2"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Amélioration de la satisfaction des clients de 21,4 % grâce à des délais de livraison plus courts.</w:t>
            </w:r>
          </w:p>
        </w:tc>
      </w:tr>
      <w:tr w:rsidR="006034DB" w:rsidRPr="006034DB" w14:paraId="098C40A0" w14:textId="77777777" w:rsidTr="00915951">
        <w:trPr>
          <w:trHeight w:val="1502"/>
        </w:trPr>
        <w:tc>
          <w:tcPr>
            <w:tcW w:w="1885" w:type="dxa"/>
            <w:shd w:val="clear" w:color="auto" w:fill="FBE4D5" w:themeFill="accent2" w:themeFillTint="33"/>
            <w:vAlign w:val="center"/>
          </w:tcPr>
          <w:p w14:paraId="6072840B"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3</w:t>
            </w:r>
          </w:p>
        </w:tc>
        <w:tc>
          <w:tcPr>
            <w:tcW w:w="4320" w:type="dxa"/>
            <w:vAlign w:val="center"/>
          </w:tcPr>
          <w:p w14:paraId="24407A6E"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ÉCOULÉE : coûts de 150 000 $.</w:t>
            </w:r>
          </w:p>
        </w:tc>
        <w:tc>
          <w:tcPr>
            <w:tcW w:w="3780" w:type="dxa"/>
            <w:vAlign w:val="center"/>
          </w:tcPr>
          <w:p w14:paraId="58A59F08"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ANNÉE EN COURS : coûts à 127 500 $.</w:t>
            </w:r>
          </w:p>
        </w:tc>
        <w:tc>
          <w:tcPr>
            <w:tcW w:w="4405" w:type="dxa"/>
            <w:vAlign w:val="center"/>
          </w:tcPr>
          <w:p w14:paraId="64D2E446" w14:textId="77777777" w:rsidR="006034DB" w:rsidRPr="00917BF3" w:rsidRDefault="006034DB" w:rsidP="00470E87">
            <w:pPr>
              <w:rPr>
                <w:rFonts w:ascii="Century Gothic" w:hAnsi="Century Gothic" w:cs="Arial"/>
                <w:color w:val="595959" w:themeColor="text1" w:themeTint="A6"/>
                <w:kern w:val="0"/>
                <w:sz w:val="24"/>
                <w:szCs w:val="24"/>
              </w:rPr>
            </w:pPr>
            <w:r w:rsidRPr="00917BF3">
              <w:rPr>
                <w:rFonts w:ascii="Century Gothic" w:hAnsi="Century Gothic"/>
                <w:color w:val="595959" w:themeColor="text1" w:themeTint="A6"/>
                <w:kern w:val="0"/>
                <w:sz w:val="24"/>
              </w:rPr>
              <w:t>Les coûts de l’énergie sont passés de 20 % à 15 % des coûts d’exploitation grâce à une planification plus efficace des itinéraires.</w:t>
            </w:r>
          </w:p>
        </w:tc>
      </w:tr>
    </w:tbl>
    <w:p w14:paraId="649802E1" w14:textId="77777777" w:rsidR="006034DB" w:rsidRPr="006034DB" w:rsidRDefault="006034DB" w:rsidP="006034DB">
      <w:pPr>
        <w:rPr>
          <w:rFonts w:ascii="Century Gothic" w:hAnsi="Century Gothic"/>
          <w:color w:val="8496B0" w:themeColor="text2" w:themeTint="99"/>
          <w:kern w:val="0"/>
          <w:sz w:val="44"/>
          <w:szCs w:val="44"/>
        </w:rPr>
      </w:pPr>
      <w:r w:rsidRPr="006034DB">
        <w:rPr>
          <w:rFonts w:ascii="Century Gothic" w:hAnsi="Century Gothic"/>
          <w:color w:val="8496B0" w:themeColor="text2" w:themeTint="99"/>
          <w:kern w:val="0"/>
          <w:sz w:val="44"/>
          <w:szCs w:val="44"/>
        </w:rPr>
        <w:br w:type="page"/>
      </w:r>
      <w:r>
        <w:rPr>
          <w:rFonts w:ascii="Century Gothic" w:hAnsi="Century Gothic"/>
          <w:color w:val="8496B0" w:themeColor="text2" w:themeTint="99"/>
          <w:kern w:val="0"/>
          <w:sz w:val="44"/>
        </w:rPr>
        <w:lastRenderedPageBreak/>
        <w:t>DIAGRAMMES À BARRES VERTICALES SUR 3 ANS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6034DB" w:rsidRPr="006034DB" w14:paraId="198C45BD" w14:textId="77777777" w:rsidTr="00470E87">
        <w:trPr>
          <w:trHeight w:val="1052"/>
        </w:trPr>
        <w:tc>
          <w:tcPr>
            <w:tcW w:w="14390" w:type="dxa"/>
            <w:vAlign w:val="center"/>
          </w:tcPr>
          <w:p w14:paraId="36B359E4" w14:textId="77777777" w:rsidR="006034DB" w:rsidRPr="006034DB" w:rsidRDefault="006034DB"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Utilisez ces diagrammes à barres pour montrer comment des éléments/métriques spécifiques ont évolué sur une période de trois ans. Chaque barre représente une année. Saisissez des données qui reflètent la croissance, le déclin ou la stabilité des valeurs. Incluez une brève description sous chaque diagramme pour expliquer les facteurs clés qui influencent ces changements d’une année sur l’autre.</w:t>
            </w:r>
          </w:p>
        </w:tc>
      </w:tr>
    </w:tbl>
    <w:p w14:paraId="355C2932" w14:textId="77777777" w:rsidR="006034DB" w:rsidRPr="006034DB" w:rsidRDefault="006034DB" w:rsidP="006034DB">
      <w:pPr>
        <w:rPr>
          <w:rFonts w:ascii="Century Gothic" w:hAnsi="Century Gothic"/>
          <w:color w:val="ACB9CA" w:themeColor="text2" w:themeTint="66"/>
          <w:kern w:val="0"/>
          <w:sz w:val="44"/>
          <w:szCs w:val="44"/>
        </w:rPr>
      </w:pPr>
    </w:p>
    <w:p w14:paraId="2BA52C39" w14:textId="77777777" w:rsidR="006034DB" w:rsidRPr="006034DB" w:rsidRDefault="006034DB" w:rsidP="006034DB">
      <w:pPr>
        <w:rPr>
          <w:rFonts w:ascii="Century Gothic" w:hAnsi="Century Gothic"/>
          <w:color w:val="ACB9CA" w:themeColor="text2" w:themeTint="66"/>
          <w:kern w:val="0"/>
          <w:sz w:val="44"/>
          <w:szCs w:val="44"/>
        </w:rPr>
      </w:pPr>
      <w:r w:rsidRPr="006034DB">
        <w:rPr>
          <w:rFonts w:ascii="Century Gothic" w:hAnsi="Century Gothic"/>
          <w:noProof/>
          <w:color w:val="ACB9CA" w:themeColor="text2" w:themeTint="66"/>
          <w:kern w:val="0"/>
          <w:sz w:val="44"/>
          <w:szCs w:val="44"/>
        </w:rPr>
        <w:drawing>
          <wp:inline distT="0" distB="0" distL="0" distR="0" wp14:anchorId="5D66E8D0" wp14:editId="4FFE64C7">
            <wp:extent cx="9096375" cy="3676650"/>
            <wp:effectExtent l="0" t="0" r="0" b="0"/>
            <wp:docPr id="11207755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9E3E00" w14:textId="77777777" w:rsidR="006034DB" w:rsidRPr="006034DB" w:rsidRDefault="006034DB" w:rsidP="006034DB">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Ce diagramme à barres illustre la croissance de Positive Charge au cours des trois dernières années dans ces domaines clés : expansion du réseau (nombre de bornes de recharge), taille de la flotte et revenus. Chaque barre représente une année.</w:t>
      </w:r>
      <w:r w:rsidRPr="006034DB">
        <w:rPr>
          <w:rFonts w:ascii="Century Gothic" w:hAnsi="Century Gothic"/>
          <w:color w:val="595959" w:themeColor="text1" w:themeTint="A6"/>
          <w:kern w:val="0"/>
          <w:sz w:val="24"/>
          <w:szCs w:val="24"/>
        </w:rPr>
        <w:br w:type="page"/>
      </w:r>
    </w:p>
    <w:p w14:paraId="23BD8827" w14:textId="77777777" w:rsidR="006034DB" w:rsidRPr="006034DB" w:rsidRDefault="006034DB" w:rsidP="006034DB">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ANALYSE COMPARATIVE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9900"/>
      </w:tblGrid>
      <w:tr w:rsidR="006034DB" w:rsidRPr="006034DB" w14:paraId="29ACF0BB" w14:textId="77777777" w:rsidTr="00470E87">
        <w:trPr>
          <w:trHeight w:val="1052"/>
        </w:trPr>
        <w:tc>
          <w:tcPr>
            <w:tcW w:w="14125" w:type="dxa"/>
            <w:gridSpan w:val="2"/>
            <w:shd w:val="clear" w:color="auto" w:fill="FFFFFF" w:themeFill="background1"/>
            <w:vAlign w:val="center"/>
          </w:tcPr>
          <w:p w14:paraId="391D0747" w14:textId="77777777" w:rsidR="006034DB" w:rsidRPr="006034DB" w:rsidRDefault="006034DB" w:rsidP="00470E87">
            <w:pPr>
              <w:rPr>
                <w:rFonts w:ascii="Century Gothic" w:hAnsi="Century Gothic" w:cs="Arial"/>
                <w:i/>
                <w:iCs/>
                <w:color w:val="595959" w:themeColor="text1" w:themeTint="A6"/>
                <w:kern w:val="0"/>
                <w:sz w:val="20"/>
                <w:szCs w:val="20"/>
              </w:rPr>
            </w:pPr>
            <w:r>
              <w:rPr>
                <w:rFonts w:ascii="Century Gothic" w:hAnsi="Century Gothic"/>
                <w:i/>
                <w:color w:val="595959" w:themeColor="text1" w:themeTint="A6"/>
                <w:kern w:val="0"/>
                <w:sz w:val="20"/>
              </w:rPr>
              <w:t>Sous chaque option (A et B), répertoriez trois caractéristiques ou aspects pertinents. Décrivez les avantages et les inconvénients de ces caractéristiques, en comparant et en contrastant les deux options. Cet exercice est essentiel pour analyser en profondeur deux stratégies, solutions ou produits.</w:t>
            </w:r>
          </w:p>
        </w:tc>
      </w:tr>
      <w:tr w:rsidR="006034DB" w:rsidRPr="006034DB" w14:paraId="7F2FFAF2" w14:textId="77777777" w:rsidTr="00470E87">
        <w:trPr>
          <w:trHeight w:val="620"/>
        </w:trPr>
        <w:tc>
          <w:tcPr>
            <w:tcW w:w="14125" w:type="dxa"/>
            <w:gridSpan w:val="2"/>
            <w:shd w:val="clear" w:color="auto" w:fill="D9E2F3" w:themeFill="accent1" w:themeFillTint="33"/>
            <w:vAlign w:val="center"/>
          </w:tcPr>
          <w:p w14:paraId="6A9C09C7"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OPTION A</w:t>
            </w:r>
          </w:p>
        </w:tc>
      </w:tr>
      <w:tr w:rsidR="006034DB" w:rsidRPr="006034DB" w14:paraId="4D956BC6" w14:textId="77777777" w:rsidTr="00470E87">
        <w:trPr>
          <w:trHeight w:val="890"/>
        </w:trPr>
        <w:tc>
          <w:tcPr>
            <w:tcW w:w="4225" w:type="dxa"/>
            <w:shd w:val="clear" w:color="auto" w:fill="FBE4D5" w:themeFill="accent2" w:themeFillTint="33"/>
            <w:vAlign w:val="center"/>
          </w:tcPr>
          <w:p w14:paraId="6EBB0614"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Modèle logistique standard de véhicules électriques</w:t>
            </w:r>
          </w:p>
        </w:tc>
        <w:tc>
          <w:tcPr>
            <w:tcW w:w="9900" w:type="dxa"/>
            <w:vAlign w:val="center"/>
          </w:tcPr>
          <w:p w14:paraId="17E52A53"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Itinéraires traditionnels, recharge régulière, plannings de livraison standard.</w:t>
            </w:r>
          </w:p>
        </w:tc>
      </w:tr>
      <w:tr w:rsidR="006034DB" w:rsidRPr="006034DB" w14:paraId="6FA2B072" w14:textId="77777777" w:rsidTr="00470E87">
        <w:trPr>
          <w:trHeight w:val="710"/>
        </w:trPr>
        <w:tc>
          <w:tcPr>
            <w:tcW w:w="4225" w:type="dxa"/>
            <w:shd w:val="clear" w:color="auto" w:fill="FBE4D5" w:themeFill="accent2" w:themeFillTint="33"/>
            <w:vAlign w:val="center"/>
          </w:tcPr>
          <w:p w14:paraId="7854588D"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2</w:t>
            </w:r>
          </w:p>
        </w:tc>
        <w:tc>
          <w:tcPr>
            <w:tcW w:w="9900" w:type="dxa"/>
            <w:vAlign w:val="center"/>
          </w:tcPr>
          <w:p w14:paraId="56D62051"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6034DB" w:rsidRPr="006034DB" w14:paraId="2A996194" w14:textId="77777777" w:rsidTr="00470E87">
        <w:trPr>
          <w:trHeight w:val="710"/>
        </w:trPr>
        <w:tc>
          <w:tcPr>
            <w:tcW w:w="4225" w:type="dxa"/>
            <w:shd w:val="clear" w:color="auto" w:fill="FBE4D5" w:themeFill="accent2" w:themeFillTint="33"/>
            <w:vAlign w:val="center"/>
          </w:tcPr>
          <w:p w14:paraId="4F57EA44"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Fonctionnalité 3</w:t>
            </w:r>
          </w:p>
        </w:tc>
        <w:tc>
          <w:tcPr>
            <w:tcW w:w="9900" w:type="dxa"/>
            <w:vAlign w:val="center"/>
          </w:tcPr>
          <w:p w14:paraId="7AC31F6C"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6034DB" w:rsidRPr="006034DB" w14:paraId="377EC528" w14:textId="77777777" w:rsidTr="00470E87">
        <w:trPr>
          <w:trHeight w:val="620"/>
        </w:trPr>
        <w:tc>
          <w:tcPr>
            <w:tcW w:w="14125" w:type="dxa"/>
            <w:gridSpan w:val="2"/>
            <w:shd w:val="clear" w:color="auto" w:fill="D9E2F3" w:themeFill="accent1" w:themeFillTint="33"/>
            <w:vAlign w:val="center"/>
          </w:tcPr>
          <w:p w14:paraId="5941419B" w14:textId="77777777" w:rsidR="006034DB" w:rsidRPr="006034DB" w:rsidRDefault="006034DB"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OPTION B</w:t>
            </w:r>
          </w:p>
        </w:tc>
      </w:tr>
      <w:tr w:rsidR="006034DB" w:rsidRPr="006034DB" w14:paraId="20F6077C" w14:textId="77777777" w:rsidTr="00470E87">
        <w:trPr>
          <w:trHeight w:val="710"/>
        </w:trPr>
        <w:tc>
          <w:tcPr>
            <w:tcW w:w="4225" w:type="dxa"/>
            <w:shd w:val="clear" w:color="auto" w:fill="FBE4D5" w:themeFill="accent2" w:themeFillTint="33"/>
            <w:vAlign w:val="center"/>
          </w:tcPr>
          <w:p w14:paraId="155E4DF3"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Modèle logistique de véhicules électriques innovant</w:t>
            </w:r>
          </w:p>
        </w:tc>
        <w:tc>
          <w:tcPr>
            <w:tcW w:w="9900" w:type="dxa"/>
            <w:vAlign w:val="center"/>
          </w:tcPr>
          <w:p w14:paraId="5DE12284"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Itinéraires optimisés par l’IA, recharge haut débit, plannings de livraison dynamiques.</w:t>
            </w:r>
          </w:p>
        </w:tc>
      </w:tr>
      <w:tr w:rsidR="006034DB" w:rsidRPr="006034DB" w14:paraId="36839E33" w14:textId="77777777" w:rsidTr="00470E87">
        <w:trPr>
          <w:trHeight w:val="710"/>
        </w:trPr>
        <w:tc>
          <w:tcPr>
            <w:tcW w:w="4225" w:type="dxa"/>
            <w:shd w:val="clear" w:color="auto" w:fill="FBE4D5" w:themeFill="accent2" w:themeFillTint="33"/>
            <w:vAlign w:val="center"/>
          </w:tcPr>
          <w:p w14:paraId="1989D83F"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2</w:t>
            </w:r>
          </w:p>
        </w:tc>
        <w:tc>
          <w:tcPr>
            <w:tcW w:w="9900" w:type="dxa"/>
            <w:vAlign w:val="center"/>
          </w:tcPr>
          <w:p w14:paraId="5839A534"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6034DB" w:rsidRPr="006034DB" w14:paraId="5589A750" w14:textId="77777777" w:rsidTr="00470E87">
        <w:trPr>
          <w:trHeight w:val="890"/>
        </w:trPr>
        <w:tc>
          <w:tcPr>
            <w:tcW w:w="4225" w:type="dxa"/>
            <w:shd w:val="clear" w:color="auto" w:fill="FBE4D5" w:themeFill="accent2" w:themeFillTint="33"/>
            <w:vAlign w:val="center"/>
          </w:tcPr>
          <w:p w14:paraId="7258C9FD"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Fonctionnalité 3</w:t>
            </w:r>
          </w:p>
        </w:tc>
        <w:tc>
          <w:tcPr>
            <w:tcW w:w="9900" w:type="dxa"/>
            <w:vAlign w:val="center"/>
          </w:tcPr>
          <w:p w14:paraId="5349E958" w14:textId="77777777" w:rsidR="006034DB" w:rsidRPr="006034DB" w:rsidRDefault="006034DB"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bl>
    <w:p w14:paraId="1CE499CE" w14:textId="77777777" w:rsidR="006034DB" w:rsidRPr="006034DB" w:rsidRDefault="006034DB" w:rsidP="006034DB">
      <w:pPr>
        <w:rPr>
          <w:rFonts w:ascii="Century Gothic" w:hAnsi="Century Gothic"/>
          <w:color w:val="ACB9CA" w:themeColor="text2" w:themeTint="66"/>
          <w:kern w:val="0"/>
          <w:sz w:val="24"/>
          <w:szCs w:val="24"/>
        </w:rPr>
      </w:pPr>
    </w:p>
    <w:p w14:paraId="08ED4357" w14:textId="77777777" w:rsidR="006034DB" w:rsidRPr="006034DB" w:rsidRDefault="006034DB" w:rsidP="006034DB">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ANALYSE : comparez les modèles traditionnel et innovant en termes d’efficacité, de rentabilité et de satisfaction client afin de mettre en évidence l’impact de l’approche de pointe de Positive Charge.</w:t>
      </w:r>
      <w:r w:rsidRPr="006034DB">
        <w:rPr>
          <w:rFonts w:ascii="Century Gothic" w:hAnsi="Century Gothic"/>
          <w:color w:val="595959" w:themeColor="text1" w:themeTint="A6"/>
          <w:kern w:val="0"/>
          <w:sz w:val="24"/>
          <w:szCs w:val="24"/>
        </w:rPr>
        <w:br w:type="page"/>
      </w:r>
    </w:p>
    <w:p w14:paraId="113D095F" w14:textId="77777777" w:rsidR="006034DB" w:rsidRPr="006034DB" w:rsidRDefault="006034DB" w:rsidP="006034DB">
      <w:pPr>
        <w:rPr>
          <w:rFonts w:ascii="Century Gothic" w:hAnsi="Century Gothic"/>
          <w:color w:val="ACB9CA" w:themeColor="text2" w:themeTint="66"/>
          <w:kern w:val="0"/>
          <w:sz w:val="44"/>
          <w:szCs w:val="44"/>
        </w:rPr>
      </w:pPr>
    </w:p>
    <w:tbl>
      <w:tblPr>
        <w:tblStyle w:val="TableGrid"/>
        <w:tblW w:w="140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40"/>
      </w:tblGrid>
      <w:tr w:rsidR="006034DB" w:rsidRPr="006034DB" w14:paraId="179398D2" w14:textId="77777777" w:rsidTr="00470E87">
        <w:trPr>
          <w:trHeight w:val="2706"/>
        </w:trPr>
        <w:tc>
          <w:tcPr>
            <w:tcW w:w="14040" w:type="dxa"/>
          </w:tcPr>
          <w:p w14:paraId="6D9D2DCB" w14:textId="77777777" w:rsidR="006034DB" w:rsidRPr="006034DB" w:rsidRDefault="006034DB" w:rsidP="00470E87">
            <w:pPr>
              <w:jc w:val="center"/>
              <w:rPr>
                <w:rFonts w:ascii="Century Gothic" w:hAnsi="Century Gothic" w:cs="Arial"/>
                <w:b/>
                <w:color w:val="000000" w:themeColor="text1"/>
                <w:kern w:val="0"/>
                <w:sz w:val="20"/>
                <w:szCs w:val="20"/>
              </w:rPr>
            </w:pPr>
            <w:r>
              <w:rPr>
                <w:rFonts w:ascii="Century Gothic" w:hAnsi="Century Gothic"/>
                <w:b/>
                <w:color w:val="000000" w:themeColor="text1"/>
                <w:kern w:val="0"/>
                <w:sz w:val="20"/>
              </w:rPr>
              <w:t>EXCLUSION DE RESPONSABILITÉ</w:t>
            </w:r>
          </w:p>
          <w:p w14:paraId="41F2ABFF" w14:textId="77777777" w:rsidR="006034DB" w:rsidRPr="006034DB" w:rsidRDefault="006034DB" w:rsidP="00470E87">
            <w:pPr>
              <w:rPr>
                <w:rFonts w:ascii="Century Gothic" w:hAnsi="Century Gothic" w:cs="Arial"/>
                <w:color w:val="000000" w:themeColor="text1"/>
                <w:kern w:val="0"/>
                <w:szCs w:val="20"/>
              </w:rPr>
            </w:pPr>
          </w:p>
          <w:p w14:paraId="15BD3B2B" w14:textId="77777777" w:rsidR="006034DB" w:rsidRPr="006034DB" w:rsidRDefault="006034DB" w:rsidP="00470E87">
            <w:pPr>
              <w:rPr>
                <w:rFonts w:ascii="Century Gothic" w:hAnsi="Century Gothic" w:cs="Arial"/>
                <w:color w:val="000000" w:themeColor="text1"/>
                <w:kern w:val="0"/>
                <w:szCs w:val="20"/>
              </w:rPr>
            </w:pPr>
            <w:r>
              <w:rPr>
                <w:rFonts w:ascii="Century Gothic" w:hAnsi="Century Gothic"/>
                <w:color w:val="000000" w:themeColor="text1"/>
                <w:kern w:val="0"/>
              </w:rPr>
              <w:t xml:space="preserve">Tous les articles, modèles ou informations proposés par </w:t>
            </w:r>
            <w:proofErr w:type="spellStart"/>
            <w:r>
              <w:rPr>
                <w:rFonts w:ascii="Century Gothic" w:hAnsi="Century Gothic"/>
                <w:color w:val="000000" w:themeColor="text1"/>
                <w:kern w:val="0"/>
              </w:rPr>
              <w:t>Smartsheet</w:t>
            </w:r>
            <w:proofErr w:type="spellEnd"/>
            <w:r>
              <w:rPr>
                <w:rFonts w:ascii="Century Gothic" w:hAnsi="Century Gothic"/>
                <w:color w:val="000000" w:themeColor="text1"/>
                <w:kern w:val="0"/>
              </w:rPr>
              <w:t xml:space="preserve"> sur le site web sont fournis à titre de référence uniquement.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de votre propre responsabilité, à vos propres risques.</w:t>
            </w:r>
          </w:p>
        </w:tc>
      </w:tr>
    </w:tbl>
    <w:p w14:paraId="145A6C9C" w14:textId="77777777" w:rsidR="006034DB" w:rsidRPr="006034DB" w:rsidRDefault="006034DB" w:rsidP="006034DB">
      <w:pPr>
        <w:rPr>
          <w:rFonts w:ascii="Century Gothic" w:hAnsi="Century Gothic"/>
          <w:b/>
          <w:color w:val="000000" w:themeColor="text1"/>
          <w:kern w:val="0"/>
          <w:sz w:val="32"/>
          <w:szCs w:val="44"/>
        </w:rPr>
      </w:pPr>
    </w:p>
    <w:p w14:paraId="6C05589D" w14:textId="77777777" w:rsidR="006034DB" w:rsidRPr="006034DB" w:rsidRDefault="006034DB" w:rsidP="006034DB">
      <w:pPr>
        <w:rPr>
          <w:rFonts w:ascii="Century Gothic" w:hAnsi="Century Gothic"/>
          <w:b/>
          <w:bCs/>
          <w:color w:val="595959" w:themeColor="text1" w:themeTint="A6"/>
          <w:kern w:val="0"/>
          <w:sz w:val="24"/>
          <w:szCs w:val="24"/>
        </w:rPr>
      </w:pPr>
    </w:p>
    <w:sectPr w:rsidR="006034DB" w:rsidRPr="006034DB" w:rsidSect="0079266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0B063" w14:textId="77777777" w:rsidR="009C1AE9" w:rsidRPr="006034DB" w:rsidRDefault="009C1AE9" w:rsidP="006034DB">
      <w:pPr>
        <w:spacing w:after="0" w:line="240" w:lineRule="auto"/>
        <w:rPr>
          <w:kern w:val="0"/>
        </w:rPr>
      </w:pPr>
      <w:r w:rsidRPr="006034DB">
        <w:rPr>
          <w:kern w:val="0"/>
        </w:rPr>
        <w:separator/>
      </w:r>
    </w:p>
  </w:endnote>
  <w:endnote w:type="continuationSeparator" w:id="0">
    <w:p w14:paraId="05F8C013" w14:textId="77777777" w:rsidR="009C1AE9" w:rsidRPr="006034DB" w:rsidRDefault="009C1AE9" w:rsidP="006034DB">
      <w:pPr>
        <w:spacing w:after="0" w:line="240" w:lineRule="auto"/>
        <w:rPr>
          <w:kern w:val="0"/>
        </w:rPr>
      </w:pPr>
      <w:r w:rsidRPr="006034DB">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5B230" w14:textId="77777777" w:rsidR="009C1AE9" w:rsidRPr="006034DB" w:rsidRDefault="009C1AE9" w:rsidP="006034DB">
      <w:pPr>
        <w:spacing w:after="0" w:line="240" w:lineRule="auto"/>
        <w:rPr>
          <w:kern w:val="0"/>
        </w:rPr>
      </w:pPr>
      <w:r w:rsidRPr="006034DB">
        <w:rPr>
          <w:kern w:val="0"/>
        </w:rPr>
        <w:separator/>
      </w:r>
    </w:p>
  </w:footnote>
  <w:footnote w:type="continuationSeparator" w:id="0">
    <w:p w14:paraId="64E71215" w14:textId="77777777" w:rsidR="009C1AE9" w:rsidRPr="006034DB" w:rsidRDefault="009C1AE9" w:rsidP="006034DB">
      <w:pPr>
        <w:spacing w:after="0" w:line="240" w:lineRule="auto"/>
        <w:rPr>
          <w:kern w:val="0"/>
        </w:rPr>
      </w:pPr>
      <w:r w:rsidRPr="006034DB">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043C1F"/>
    <w:rsid w:val="000B06D0"/>
    <w:rsid w:val="001918A5"/>
    <w:rsid w:val="001B6FFF"/>
    <w:rsid w:val="002167F2"/>
    <w:rsid w:val="0022017E"/>
    <w:rsid w:val="002817BC"/>
    <w:rsid w:val="0030138A"/>
    <w:rsid w:val="00323215"/>
    <w:rsid w:val="004830BF"/>
    <w:rsid w:val="00494DAE"/>
    <w:rsid w:val="00515C0D"/>
    <w:rsid w:val="006034DB"/>
    <w:rsid w:val="00727677"/>
    <w:rsid w:val="007328A3"/>
    <w:rsid w:val="00762D74"/>
    <w:rsid w:val="00792663"/>
    <w:rsid w:val="00823C0E"/>
    <w:rsid w:val="008621DA"/>
    <w:rsid w:val="00915951"/>
    <w:rsid w:val="00917BF3"/>
    <w:rsid w:val="009350B4"/>
    <w:rsid w:val="00952CB1"/>
    <w:rsid w:val="009C1AE9"/>
    <w:rsid w:val="009D4580"/>
    <w:rsid w:val="00A22E6A"/>
    <w:rsid w:val="00A648EE"/>
    <w:rsid w:val="00A93C31"/>
    <w:rsid w:val="00D11BEF"/>
    <w:rsid w:val="00D2241B"/>
    <w:rsid w:val="00D405F9"/>
    <w:rsid w:val="00DC2C9E"/>
    <w:rsid w:val="00E1131E"/>
    <w:rsid w:val="00E327DC"/>
    <w:rsid w:val="00E57411"/>
    <w:rsid w:val="00EC7DFB"/>
    <w:rsid w:val="00FE7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B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034DB"/>
    <w:pPr>
      <w:tabs>
        <w:tab w:val="center" w:pos="4419"/>
        <w:tab w:val="right" w:pos="8838"/>
      </w:tabs>
      <w:spacing w:after="0" w:line="240" w:lineRule="auto"/>
    </w:pPr>
  </w:style>
  <w:style w:type="character" w:customStyle="1" w:styleId="HeaderChar">
    <w:name w:val="Header Char"/>
    <w:basedOn w:val="DefaultParagraphFont"/>
    <w:link w:val="Header"/>
    <w:uiPriority w:val="99"/>
    <w:rsid w:val="006034DB"/>
  </w:style>
  <w:style w:type="paragraph" w:styleId="Footer">
    <w:name w:val="footer"/>
    <w:basedOn w:val="Normal"/>
    <w:link w:val="FooterChar"/>
    <w:uiPriority w:val="99"/>
    <w:unhideWhenUsed/>
    <w:rsid w:val="006034DB"/>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7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smartsheet.com/try-it?trp=1808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Année 1</c:v>
                </c:pt>
              </c:strCache>
            </c:strRef>
          </c:tx>
          <c:spPr>
            <a:solidFill>
              <a:schemeClr val="accent1"/>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144-4311-B099-EE90D30E8277}"/>
            </c:ext>
          </c:extLst>
        </c:ser>
        <c:ser>
          <c:idx val="1"/>
          <c:order val="1"/>
          <c:tx>
            <c:strRef>
              <c:f>Sheet1!$C$1</c:f>
              <c:strCache>
                <c:ptCount val="1"/>
                <c:pt idx="0">
                  <c:v>Année 2</c:v>
                </c:pt>
              </c:strCache>
            </c:strRef>
          </c:tx>
          <c:spPr>
            <a:solidFill>
              <a:schemeClr val="accent2"/>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144-4311-B099-EE90D30E8277}"/>
            </c:ext>
          </c:extLst>
        </c:ser>
        <c:ser>
          <c:idx val="2"/>
          <c:order val="2"/>
          <c:tx>
            <c:strRef>
              <c:f>Sheet1!$D$1</c:f>
              <c:strCache>
                <c:ptCount val="1"/>
                <c:pt idx="0">
                  <c:v>Année 3</c:v>
                </c:pt>
              </c:strCache>
            </c:strRef>
          </c:tx>
          <c:spPr>
            <a:solidFill>
              <a:schemeClr val="accent3"/>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144-4311-B099-EE90D30E8277}"/>
            </c:ext>
          </c:extLst>
        </c:ser>
        <c:dLbls>
          <c:showLegendKey val="0"/>
          <c:showVal val="0"/>
          <c:showCatName val="0"/>
          <c:showSerName val="0"/>
          <c:showPercent val="0"/>
          <c:showBubbleSize val="0"/>
        </c:dLbls>
        <c:gapWidth val="219"/>
        <c:overlap val="-27"/>
        <c:axId val="1914479647"/>
        <c:axId val="1006275216"/>
      </c:barChart>
      <c:catAx>
        <c:axId val="191447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crossAx val="1006275216"/>
        <c:crosses val="autoZero"/>
        <c:auto val="1"/>
        <c:lblAlgn val="ctr"/>
        <c:lblOffset val="100"/>
        <c:noMultiLvlLbl val="0"/>
      </c:catAx>
      <c:valAx>
        <c:axId val="100627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crossAx val="19144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680</Words>
  <Characters>3822</Characters>
  <Application>Microsoft Office Word</Application>
  <DocSecurity>0</DocSecurity>
  <Lines>112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Ricky Nan</cp:lastModifiedBy>
  <cp:revision>8</cp:revision>
  <dcterms:created xsi:type="dcterms:W3CDTF">2024-01-21T23:18:00Z</dcterms:created>
  <dcterms:modified xsi:type="dcterms:W3CDTF">2024-10-08T11:12:00Z</dcterms:modified>
</cp:coreProperties>
</file>