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6507" w14:textId="57A3845C" w:rsidR="004C19DF" w:rsidRDefault="00723701" w:rsidP="001F27D7">
      <w:pPr>
        <w:rPr>
          <w:rFonts w:ascii="Century Gothic" w:hAnsi="Century Gothic" w:cs="Arial"/>
          <w:b/>
          <w:color w:val="595959" w:themeColor="text1" w:themeTint="A6"/>
          <w:sz w:val="36"/>
          <w:szCs w:val="36"/>
        </w:rPr>
      </w:pPr>
      <w:r>
        <w:rPr>
          <w:rFonts w:ascii="Century Gothic" w:hAnsi="Century Gothic"/>
          <w:b/>
          <w:noProof/>
          <w:color w:val="595959" w:themeColor="text1" w:themeTint="A6"/>
          <w:sz w:val="36"/>
          <w:szCs w:val="36"/>
        </w:rPr>
        <w:drawing>
          <wp:anchor distT="0" distB="0" distL="114300" distR="114300" simplePos="0" relativeHeight="251658240" behindDoc="0" locked="0" layoutInCell="1" allowOverlap="1" wp14:anchorId="18EAE35E" wp14:editId="25F8DD78">
            <wp:simplePos x="0" y="0"/>
            <wp:positionH relativeFrom="column">
              <wp:posOffset>5074285</wp:posOffset>
            </wp:positionH>
            <wp:positionV relativeFrom="paragraph">
              <wp:posOffset>1905</wp:posOffset>
            </wp:positionV>
            <wp:extent cx="2209800" cy="440055"/>
            <wp:effectExtent l="0" t="0" r="0" b="0"/>
            <wp:wrapNone/>
            <wp:docPr id="1003868270"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68270" name="Picture 1">
                      <a:hlinkClick r:id="rId7"/>
                    </pic:cNvPr>
                    <pic:cNvPicPr/>
                  </pic:nvPicPr>
                  <pic:blipFill rotWithShape="1">
                    <a:blip r:embed="rId8" cstate="print">
                      <a:extLst>
                        <a:ext uri="{28A0092B-C50C-407E-A947-70E740481C1C}">
                          <a14:useLocalDpi xmlns:a14="http://schemas.microsoft.com/office/drawing/2010/main" val="0"/>
                        </a:ext>
                      </a:extLst>
                    </a:blip>
                    <a:srcRect r="4207"/>
                    <a:stretch/>
                  </pic:blipFill>
                  <pic:spPr bwMode="auto">
                    <a:xfrm>
                      <a:off x="0" y="0"/>
                      <a:ext cx="2209800" cy="440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9DF">
        <w:rPr>
          <w:rFonts w:ascii="Century Gothic" w:hAnsi="Century Gothic"/>
          <w:b/>
          <w:color w:val="595959" w:themeColor="text1" w:themeTint="A6"/>
          <w:sz w:val="36"/>
        </w:rPr>
        <w:t xml:space="preserve">EXEMPLE DE MODÈLE DE MATRICE D’AFFAIRES </w:t>
      </w:r>
      <w:r w:rsidR="001F27D7">
        <w:rPr>
          <w:rFonts w:ascii="Century Gothic" w:hAnsi="Century Gothic"/>
          <w:b/>
          <w:color w:val="595959" w:themeColor="text1" w:themeTint="A6"/>
          <w:sz w:val="36"/>
          <w:szCs w:val="36"/>
        </w:rPr>
        <w:br/>
      </w:r>
      <w:r w:rsidR="004C19DF">
        <w:rPr>
          <w:rFonts w:ascii="Century Gothic" w:hAnsi="Century Gothic"/>
          <w:b/>
          <w:color w:val="595959" w:themeColor="text1" w:themeTint="A6"/>
          <w:sz w:val="36"/>
        </w:rPr>
        <w:t>SUR UNE PAGE POUR MICROSOFT WORD</w:t>
      </w:r>
    </w:p>
    <w:p w14:paraId="596C75FC" w14:textId="77777777" w:rsidR="00082823" w:rsidRPr="00082823" w:rsidRDefault="00082823" w:rsidP="00C55EFE">
      <w:pPr>
        <w:rPr>
          <w:rFonts w:ascii="Century Gothic" w:hAnsi="Century Gothic" w:cs="Arial"/>
          <w:b/>
          <w:color w:val="595959" w:themeColor="text1" w:themeTint="A6"/>
          <w:sz w:val="16"/>
          <w:szCs w:val="16"/>
        </w:rPr>
      </w:pPr>
    </w:p>
    <w:p w14:paraId="71FF18A1" w14:textId="556AA877" w:rsidR="00082823" w:rsidRPr="00B779B7" w:rsidRDefault="00082823" w:rsidP="00C55EFE">
      <w:pPr>
        <w:rPr>
          <w:rFonts w:ascii="Century Gothic" w:hAnsi="Century Gothic" w:cs="Arial"/>
          <w:b/>
          <w:color w:val="595959" w:themeColor="text1" w:themeTint="A6"/>
          <w:sz w:val="20"/>
          <w:szCs w:val="20"/>
        </w:rPr>
      </w:pPr>
      <w:r>
        <w:rPr>
          <w:rFonts w:ascii="Century Gothic" w:hAnsi="Century Gothic"/>
          <w:color w:val="000000"/>
          <w:sz w:val="20"/>
          <w:shd w:val="clear" w:color="auto" w:fill="FFFFFF"/>
        </w:rPr>
        <w:t>Cette représentation offre une vue d’ensemble du modèle d’affaires de Positive Charge et montre la façon dont chaque composante contribue à créer et à apporter de la valeur dans l’industrie de la recharge et de la logistique des VE.</w:t>
      </w:r>
    </w:p>
    <w:p w14:paraId="21820BF9" w14:textId="77777777" w:rsidR="004C19DF" w:rsidRPr="00082823" w:rsidRDefault="004C19DF" w:rsidP="00C55EFE">
      <w:pPr>
        <w:rPr>
          <w:rFonts w:ascii="Century Gothic" w:hAnsi="Century Gothic" w:cs="Arial"/>
          <w:b/>
          <w:color w:val="808080" w:themeColor="background1" w:themeShade="80"/>
          <w:sz w:val="16"/>
          <w:szCs w:val="16"/>
        </w:rPr>
      </w:pPr>
    </w:p>
    <w:tbl>
      <w:tblPr>
        <w:tblW w:w="11383" w:type="dxa"/>
        <w:tblLook w:val="04A0" w:firstRow="1" w:lastRow="0" w:firstColumn="1" w:lastColumn="0" w:noHBand="0" w:noVBand="1"/>
      </w:tblPr>
      <w:tblGrid>
        <w:gridCol w:w="2875"/>
        <w:gridCol w:w="7620"/>
        <w:gridCol w:w="222"/>
        <w:gridCol w:w="222"/>
        <w:gridCol w:w="222"/>
        <w:gridCol w:w="222"/>
      </w:tblGrid>
      <w:tr w:rsidR="001534AE" w:rsidRPr="001534AE" w14:paraId="3B03EBFC"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523322E" w14:textId="5E953B08"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PROPOSITIONS DE VALEUR</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48B993" w14:textId="747189E1" w:rsidR="001534AE" w:rsidRPr="001534AE" w:rsidRDefault="00082823" w:rsidP="001534AE">
            <w:pPr>
              <w:rPr>
                <w:rFonts w:ascii="Century Gothic" w:eastAsia="Times New Roman" w:hAnsi="Century Gothic" w:cs="Calibri"/>
                <w:color w:val="000000"/>
                <w:sz w:val="20"/>
                <w:szCs w:val="20"/>
              </w:rPr>
            </w:pPr>
            <w:r>
              <w:rPr>
                <w:rFonts w:ascii="Century Gothic" w:hAnsi="Century Gothic"/>
                <w:color w:val="000000"/>
                <w:sz w:val="20"/>
              </w:rPr>
              <w:t>Positive Charge propose des solutions de recharge pour VE à la pointe de la technologie. La société offre ainsi des services de recharge rapides, efficaces et respectueux de l’environnement. Notre valeur unique réside dans notre technologie avancée (axée sur un temps de recharge réduit) et notre engagement envers des pratiques durables.</w:t>
            </w:r>
          </w:p>
        </w:tc>
      </w:tr>
      <w:tr w:rsidR="001534AE" w:rsidRPr="001534AE" w14:paraId="2B0DE0C0"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080E324" w14:textId="66769543"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SEGMENTS DE CLIENTS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B96963A" w14:textId="03104568" w:rsidR="001534AE" w:rsidRPr="001534AE" w:rsidRDefault="00082823" w:rsidP="001534AE">
            <w:pPr>
              <w:rPr>
                <w:rFonts w:ascii="Century Gothic" w:eastAsia="Times New Roman" w:hAnsi="Century Gothic" w:cs="Calibri"/>
                <w:color w:val="000000"/>
                <w:sz w:val="20"/>
                <w:szCs w:val="20"/>
              </w:rPr>
            </w:pPr>
            <w:r>
              <w:rPr>
                <w:rFonts w:ascii="Century Gothic" w:hAnsi="Century Gothic"/>
                <w:color w:val="000000"/>
                <w:sz w:val="20"/>
              </w:rPr>
              <w:t>Nos principaux segments clients comprennent les propriétaires de VE, les entreprises commerciales qui possèdent une flotte de véhicules et les entités gouvernementales locales qui cherchent à promouvoir l’utilisation des véhicules électriques dans leurs collectivités.</w:t>
            </w:r>
          </w:p>
        </w:tc>
      </w:tr>
      <w:tr w:rsidR="001534AE" w:rsidRPr="001534AE" w14:paraId="00AC8379"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4E73E9A2" w14:textId="5A31A1C8"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CANAUX</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FD6DB6B" w14:textId="58821B36" w:rsidR="001534AE" w:rsidRPr="001534AE" w:rsidRDefault="00082823" w:rsidP="001534AE">
            <w:pPr>
              <w:rPr>
                <w:rFonts w:ascii="Century Gothic" w:eastAsia="Times New Roman" w:hAnsi="Century Gothic" w:cs="Calibri"/>
                <w:color w:val="000000"/>
                <w:sz w:val="20"/>
                <w:szCs w:val="20"/>
              </w:rPr>
            </w:pPr>
            <w:r>
              <w:rPr>
                <w:rFonts w:ascii="Century Gothic" w:hAnsi="Century Gothic"/>
                <w:color w:val="000000"/>
                <w:sz w:val="20"/>
              </w:rPr>
              <w:t>Positive Charge apporte sa proposition de valeur par l’intermédiaire d’un réseau de bornes de recharge stratégiquement situées, d’une application mobile facile à utiliser pour l’accès aux services et de partenariats avec des entités commerciales et gouvernementales.</w:t>
            </w:r>
          </w:p>
        </w:tc>
      </w:tr>
      <w:tr w:rsidR="004C19DF" w:rsidRPr="001534AE" w14:paraId="51C452BA"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D17A6F5" w14:textId="4AC4AFB2"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RELATIONS AVEC LES CLIENTS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F6CF373" w14:textId="56193F0B"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Nous établissons de solides relations avec les clients grâce à une assistance personnalisée, à des programmes de fidélisation destinés aux utilisateurs réguliers et à des initiatives d’engagement communautaire qui favorisent le transport durable.</w:t>
            </w:r>
          </w:p>
        </w:tc>
      </w:tr>
      <w:tr w:rsidR="004C19DF" w:rsidRPr="001534AE" w14:paraId="6F19A584"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23F1FFE" w14:textId="0A45A229"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SOURCES DE REVENUS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ABB50DB" w14:textId="5C58C460"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Nos sources de revenus comprennent les frais des services de recharge, les modèles à abonnement pour les utilisateurs fréquents et les partenariats avec les entreprises locales et les organismes gouvernementaux pour l’installation des bornes.</w:t>
            </w:r>
          </w:p>
        </w:tc>
      </w:tr>
      <w:tr w:rsidR="004C19DF" w:rsidRPr="001534AE" w14:paraId="5515AA28"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621D921" w14:textId="3F15CABA"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RESSOURCES CLÉS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B938302" w14:textId="19748AA9"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Les ressources clés de Positive Charge comprennent notre technologie de recharge avancée, notre réseau de bornes de recharge, notre logiciel exclusif pour la gestion des bornes et notre personnel technique qualifié.</w:t>
            </w:r>
          </w:p>
        </w:tc>
      </w:tr>
      <w:tr w:rsidR="004C19DF" w:rsidRPr="001534AE" w14:paraId="03CB3F7B"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300112EB" w14:textId="7190578C"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ACTIVITÉS CLÉS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3F8482" w14:textId="38C8D26A"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Les activités clés de notre modèle d’affaires sont l’entretien et la mise à niveau des bornes de recharge, le développement d’interfaces technologiques conviviales et l’établissement de partenariats pour l’expansion de notre réseau.</w:t>
            </w:r>
          </w:p>
        </w:tc>
      </w:tr>
      <w:tr w:rsidR="004C19DF" w:rsidRPr="001534AE" w14:paraId="71A3A1B7"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915D6FB" w14:textId="65BA5745"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PARTENARIATS CLÉS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5E51D58" w14:textId="43B4E333"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Nos principaux partenariats comprennent des collaborations avec des entités telles que les administrations locales, les fournisseurs de technologies de recharge, les sociétés immobilières pour les emplacements des bornes et les organisations environnementales.</w:t>
            </w:r>
          </w:p>
        </w:tc>
      </w:tr>
      <w:tr w:rsidR="004C19DF" w:rsidRPr="001534AE" w14:paraId="0AD3FFE4" w14:textId="77777777" w:rsidTr="00D91822">
        <w:trPr>
          <w:trHeight w:val="1417"/>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4E746567" w14:textId="5FBC3AE0"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STRUCTURE DES COÛTS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62FEC0" w14:textId="5D1902F7"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Les principaux coûts portent sur l’installation et l’entretien des bornes de recharge, le développement de technologies, le marketing et la publicité, ainsi que la gestion des opérations.</w:t>
            </w:r>
          </w:p>
        </w:tc>
      </w:tr>
      <w:tr w:rsidR="004C19DF" w:rsidRPr="001534AE" w14:paraId="1A7150F0" w14:textId="77777777" w:rsidTr="004C19DF">
        <w:trPr>
          <w:trHeight w:val="154"/>
        </w:trPr>
        <w:tc>
          <w:tcPr>
            <w:tcW w:w="2875" w:type="dxa"/>
            <w:tcBorders>
              <w:top w:val="single" w:sz="4" w:space="0" w:color="BFBFBF" w:themeColor="background1" w:themeShade="BF"/>
              <w:left w:val="nil"/>
              <w:bottom w:val="nil"/>
              <w:right w:val="nil"/>
            </w:tcBorders>
            <w:shd w:val="clear" w:color="auto" w:fill="auto"/>
            <w:noWrap/>
            <w:vAlign w:val="center"/>
            <w:hideMark/>
          </w:tcPr>
          <w:p w14:paraId="753C6623" w14:textId="77777777" w:rsidR="004C19DF" w:rsidRPr="001534AE" w:rsidRDefault="004C19DF" w:rsidP="004C19DF">
            <w:pPr>
              <w:rPr>
                <w:rFonts w:ascii="Century Gothic" w:eastAsia="Times New Roman" w:hAnsi="Century Gothic" w:cs="Calibri"/>
                <w:color w:val="000000"/>
                <w:sz w:val="20"/>
                <w:szCs w:val="20"/>
              </w:rPr>
            </w:pPr>
          </w:p>
        </w:tc>
        <w:tc>
          <w:tcPr>
            <w:tcW w:w="7620" w:type="dxa"/>
            <w:tcBorders>
              <w:top w:val="single" w:sz="4" w:space="0" w:color="BFBFBF" w:themeColor="background1" w:themeShade="BF"/>
              <w:left w:val="nil"/>
              <w:bottom w:val="nil"/>
              <w:right w:val="nil"/>
            </w:tcBorders>
            <w:shd w:val="clear" w:color="auto" w:fill="auto"/>
            <w:noWrap/>
            <w:vAlign w:val="bottom"/>
            <w:hideMark/>
          </w:tcPr>
          <w:p w14:paraId="29273ADD"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6109EFBF"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553F6CD2"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7D3E867B"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62BA26D9" w14:textId="77777777" w:rsidR="004C19DF" w:rsidRPr="001534AE" w:rsidRDefault="004C19DF" w:rsidP="004C19DF">
            <w:pPr>
              <w:rPr>
                <w:rFonts w:ascii="Times New Roman" w:eastAsia="Times New Roman" w:hAnsi="Times New Roman" w:cs="Times New Roman"/>
                <w:sz w:val="20"/>
                <w:szCs w:val="20"/>
              </w:rPr>
            </w:pPr>
          </w:p>
        </w:tc>
      </w:tr>
    </w:tbl>
    <w:p w14:paraId="214A0474" w14:textId="1AC1F7D9" w:rsidR="00D97508" w:rsidRDefault="00D97508" w:rsidP="00D97508">
      <w:pPr>
        <w:rPr>
          <w:rFonts w:ascii="Century Gothic" w:hAnsi="Century Gothic"/>
          <w:b/>
          <w:bCs/>
          <w:sz w:val="22"/>
          <w:szCs w:val="22"/>
        </w:rPr>
      </w:pPr>
    </w:p>
    <w:p w14:paraId="70ABF2E2" w14:textId="7ADC8883" w:rsidR="003C0A0A" w:rsidRDefault="003C0A0A"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Pr>
                <w:rFonts w:ascii="Century Gothic" w:hAnsi="Century Gothic"/>
                <w:b/>
              </w:rPr>
              <w:t>EXCLUSION DE RESPONSABILITÉ</w:t>
            </w:r>
          </w:p>
          <w:p w14:paraId="7B02EE06" w14:textId="77777777" w:rsidR="004C19DF" w:rsidRPr="00EC5483" w:rsidRDefault="004C19DF" w:rsidP="007F1ED8">
            <w:pPr>
              <w:rPr>
                <w:rFonts w:ascii="Century Gothic" w:hAnsi="Century Gothic" w:cs="Arial"/>
                <w:szCs w:val="20"/>
              </w:rPr>
            </w:pPr>
          </w:p>
          <w:p w14:paraId="5E43C91D" w14:textId="77777777" w:rsidR="004C19DF" w:rsidRDefault="004C19DF" w:rsidP="007F1ED8">
            <w:pPr>
              <w:rPr>
                <w:rFonts w:ascii="Century Gothic" w:hAnsi="Century Gothic"/>
              </w:rPr>
            </w:pPr>
            <w:r>
              <w:rPr>
                <w:rFonts w:ascii="Century Gothic" w:hAnsi="Century Gothic"/>
              </w:rPr>
              <w:t xml:space="preserve">Tous les articles, modèles ou informations proposés par </w:t>
            </w:r>
            <w:proofErr w:type="spellStart"/>
            <w:r>
              <w:rPr>
                <w:rFonts w:ascii="Century Gothic" w:hAnsi="Century Gothic"/>
              </w:rPr>
              <w:t>Smartsheet</w:t>
            </w:r>
            <w:proofErr w:type="spellEnd"/>
            <w:r>
              <w:rPr>
                <w:rFonts w:ascii="Century Gothic" w:hAnsi="Century Gothic"/>
              </w:rPr>
              <w:t xml:space="preserve"> sur le site Web sont fournis à titre de référence uniquement. Bien que nous nous efforcions de veiller à ce que les informations communiquées soient toujours correctes et à jour, nous ne faisons aucune déclaration, ni n’offrons aucune garantie, de quelque nature que ce soit, expresse ou implicite, quant à l’exhaustivité, l’exactitude, la fiabilité, la pertinence ou la disponibilité du site Web, ou des informations, articles, modèles ou graphiques liés figurant sur le site. La confiance que vous accordez à ces informations relève de votre propre responsabilité, à vos propres risques.</w:t>
            </w:r>
          </w:p>
          <w:p w14:paraId="3A72557D" w14:textId="77777777" w:rsidR="00533777" w:rsidRDefault="00533777" w:rsidP="007F1ED8">
            <w:pPr>
              <w:rPr>
                <w:rFonts w:cs="Arial"/>
                <w:szCs w:val="20"/>
              </w:rPr>
            </w:pPr>
          </w:p>
        </w:tc>
      </w:tr>
    </w:tbl>
    <w:p w14:paraId="5DA641BF" w14:textId="77777777" w:rsidR="004C19DF" w:rsidRDefault="004C19DF" w:rsidP="004C19DF">
      <w:pPr>
        <w:rPr>
          <w:rFonts w:ascii="Century Gothic" w:hAnsi="Century Gothic" w:cs="Arial"/>
          <w:sz w:val="20"/>
          <w:szCs w:val="20"/>
        </w:rPr>
      </w:pPr>
    </w:p>
    <w:sectPr w:rsidR="004C19DF" w:rsidSect="00526906">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BEE7" w14:textId="77777777" w:rsidR="00BE1EBC" w:rsidRDefault="00BE1EBC" w:rsidP="004C6C01">
      <w:r>
        <w:separator/>
      </w:r>
    </w:p>
  </w:endnote>
  <w:endnote w:type="continuationSeparator" w:id="0">
    <w:p w14:paraId="0AD6DE2B" w14:textId="77777777" w:rsidR="00BE1EBC" w:rsidRDefault="00BE1EBC"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00000083" w:usb1="00000000"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AC30" w14:textId="77777777" w:rsidR="00BE1EBC" w:rsidRDefault="00BE1EBC" w:rsidP="004C6C01">
      <w:r>
        <w:separator/>
      </w:r>
    </w:p>
  </w:footnote>
  <w:footnote w:type="continuationSeparator" w:id="0">
    <w:p w14:paraId="67D751D9" w14:textId="77777777" w:rsidR="00BE1EBC" w:rsidRDefault="00BE1EBC"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5"/>
  </w:num>
  <w:num w:numId="2" w16cid:durableId="839584812">
    <w:abstractNumId w:val="7"/>
  </w:num>
  <w:num w:numId="3" w16cid:durableId="305084466">
    <w:abstractNumId w:val="2"/>
  </w:num>
  <w:num w:numId="4" w16cid:durableId="1213881445">
    <w:abstractNumId w:val="4"/>
  </w:num>
  <w:num w:numId="5" w16cid:durableId="619647340">
    <w:abstractNumId w:val="3"/>
  </w:num>
  <w:num w:numId="6" w16cid:durableId="1175345553">
    <w:abstractNumId w:val="0"/>
  </w:num>
  <w:num w:numId="7" w16cid:durableId="604382273">
    <w:abstractNumId w:val="6"/>
  </w:num>
  <w:num w:numId="8" w16cid:durableId="171180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4588C"/>
    <w:rsid w:val="00046F5A"/>
    <w:rsid w:val="00066E30"/>
    <w:rsid w:val="00080417"/>
    <w:rsid w:val="00082823"/>
    <w:rsid w:val="000A3240"/>
    <w:rsid w:val="000C36A1"/>
    <w:rsid w:val="000D3136"/>
    <w:rsid w:val="000D3BE6"/>
    <w:rsid w:val="000D3E08"/>
    <w:rsid w:val="000D5651"/>
    <w:rsid w:val="000E4456"/>
    <w:rsid w:val="00113C3F"/>
    <w:rsid w:val="001151A7"/>
    <w:rsid w:val="001430C2"/>
    <w:rsid w:val="00152249"/>
    <w:rsid w:val="001534AE"/>
    <w:rsid w:val="0016438F"/>
    <w:rsid w:val="00182D40"/>
    <w:rsid w:val="00184DC2"/>
    <w:rsid w:val="00190874"/>
    <w:rsid w:val="0019226A"/>
    <w:rsid w:val="00197AA4"/>
    <w:rsid w:val="001C29A2"/>
    <w:rsid w:val="001D3084"/>
    <w:rsid w:val="001D5095"/>
    <w:rsid w:val="001F27D7"/>
    <w:rsid w:val="00220080"/>
    <w:rsid w:val="00225FFA"/>
    <w:rsid w:val="0023244F"/>
    <w:rsid w:val="00246B96"/>
    <w:rsid w:val="00251A30"/>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9551A"/>
    <w:rsid w:val="003A371B"/>
    <w:rsid w:val="003B5EDA"/>
    <w:rsid w:val="003B789B"/>
    <w:rsid w:val="003C0A0A"/>
    <w:rsid w:val="003C0FDB"/>
    <w:rsid w:val="003C118B"/>
    <w:rsid w:val="003F2026"/>
    <w:rsid w:val="003F50F4"/>
    <w:rsid w:val="00405E4D"/>
    <w:rsid w:val="00426070"/>
    <w:rsid w:val="0043640D"/>
    <w:rsid w:val="00440B96"/>
    <w:rsid w:val="00461C19"/>
    <w:rsid w:val="00464224"/>
    <w:rsid w:val="00466441"/>
    <w:rsid w:val="004672DC"/>
    <w:rsid w:val="00471C74"/>
    <w:rsid w:val="00472EBE"/>
    <w:rsid w:val="004937B7"/>
    <w:rsid w:val="004947DB"/>
    <w:rsid w:val="004C0914"/>
    <w:rsid w:val="004C19DF"/>
    <w:rsid w:val="004C60EC"/>
    <w:rsid w:val="004C6C01"/>
    <w:rsid w:val="004D28AF"/>
    <w:rsid w:val="004E2F8A"/>
    <w:rsid w:val="005039D1"/>
    <w:rsid w:val="0050653C"/>
    <w:rsid w:val="00513F89"/>
    <w:rsid w:val="00526906"/>
    <w:rsid w:val="00533777"/>
    <w:rsid w:val="005449AA"/>
    <w:rsid w:val="00567A01"/>
    <w:rsid w:val="00581117"/>
    <w:rsid w:val="00581B8D"/>
    <w:rsid w:val="005A6272"/>
    <w:rsid w:val="005C4192"/>
    <w:rsid w:val="005F4987"/>
    <w:rsid w:val="00605350"/>
    <w:rsid w:val="0061672E"/>
    <w:rsid w:val="00624110"/>
    <w:rsid w:val="00625AE7"/>
    <w:rsid w:val="00662FA3"/>
    <w:rsid w:val="00663036"/>
    <w:rsid w:val="006806AD"/>
    <w:rsid w:val="006856C3"/>
    <w:rsid w:val="006C4F93"/>
    <w:rsid w:val="006D26C3"/>
    <w:rsid w:val="006F6DA2"/>
    <w:rsid w:val="00710BDD"/>
    <w:rsid w:val="00723701"/>
    <w:rsid w:val="00745330"/>
    <w:rsid w:val="00751E49"/>
    <w:rsid w:val="007773C9"/>
    <w:rsid w:val="007811F2"/>
    <w:rsid w:val="007B2CB6"/>
    <w:rsid w:val="007C0AB0"/>
    <w:rsid w:val="007C23AE"/>
    <w:rsid w:val="007C2EE3"/>
    <w:rsid w:val="007D01DF"/>
    <w:rsid w:val="007D119F"/>
    <w:rsid w:val="007E0F7B"/>
    <w:rsid w:val="00803022"/>
    <w:rsid w:val="00823204"/>
    <w:rsid w:val="008337C0"/>
    <w:rsid w:val="008471A8"/>
    <w:rsid w:val="00857E67"/>
    <w:rsid w:val="00871614"/>
    <w:rsid w:val="00897E3B"/>
    <w:rsid w:val="008A027A"/>
    <w:rsid w:val="008A2577"/>
    <w:rsid w:val="009153D4"/>
    <w:rsid w:val="00924670"/>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AE1"/>
    <w:rsid w:val="00A146EA"/>
    <w:rsid w:val="00A22920"/>
    <w:rsid w:val="00A26FF5"/>
    <w:rsid w:val="00A33278"/>
    <w:rsid w:val="00A45DFA"/>
    <w:rsid w:val="00A63D16"/>
    <w:rsid w:val="00A95281"/>
    <w:rsid w:val="00A957A8"/>
    <w:rsid w:val="00AA354C"/>
    <w:rsid w:val="00AD669A"/>
    <w:rsid w:val="00AE0C5C"/>
    <w:rsid w:val="00AE4E21"/>
    <w:rsid w:val="00AE65BE"/>
    <w:rsid w:val="00B20BFE"/>
    <w:rsid w:val="00B30812"/>
    <w:rsid w:val="00B33B31"/>
    <w:rsid w:val="00B35CB3"/>
    <w:rsid w:val="00B41085"/>
    <w:rsid w:val="00B41441"/>
    <w:rsid w:val="00B47C77"/>
    <w:rsid w:val="00B52A2B"/>
    <w:rsid w:val="00B60043"/>
    <w:rsid w:val="00B65434"/>
    <w:rsid w:val="00B71241"/>
    <w:rsid w:val="00B779B7"/>
    <w:rsid w:val="00B85A3B"/>
    <w:rsid w:val="00BC1C64"/>
    <w:rsid w:val="00BD050D"/>
    <w:rsid w:val="00BE1EBC"/>
    <w:rsid w:val="00BE5B0D"/>
    <w:rsid w:val="00BF5A50"/>
    <w:rsid w:val="00C0003E"/>
    <w:rsid w:val="00C132D0"/>
    <w:rsid w:val="00C26DA3"/>
    <w:rsid w:val="00C45631"/>
    <w:rsid w:val="00C5249E"/>
    <w:rsid w:val="00C55EFE"/>
    <w:rsid w:val="00CB51F2"/>
    <w:rsid w:val="00CE768F"/>
    <w:rsid w:val="00CF23D5"/>
    <w:rsid w:val="00D57248"/>
    <w:rsid w:val="00D73EEA"/>
    <w:rsid w:val="00D91822"/>
    <w:rsid w:val="00D97508"/>
    <w:rsid w:val="00DA2E06"/>
    <w:rsid w:val="00DB03FB"/>
    <w:rsid w:val="00DE2996"/>
    <w:rsid w:val="00DF4D73"/>
    <w:rsid w:val="00E131A3"/>
    <w:rsid w:val="00E167E4"/>
    <w:rsid w:val="00E175FA"/>
    <w:rsid w:val="00E51764"/>
    <w:rsid w:val="00E94791"/>
    <w:rsid w:val="00EA753E"/>
    <w:rsid w:val="00EC7CD9"/>
    <w:rsid w:val="00EE56C3"/>
    <w:rsid w:val="00F03613"/>
    <w:rsid w:val="00F17AD3"/>
    <w:rsid w:val="00F2225C"/>
    <w:rsid w:val="00F50775"/>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94</TotalTime>
  <Pages>2</Pages>
  <Words>503</Words>
  <Characters>2942</Characters>
  <Application>Microsoft Office Word</Application>
  <DocSecurity>0</DocSecurity>
  <Lines>113</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Cherry.Huang</cp:lastModifiedBy>
  <cp:revision>9</cp:revision>
  <dcterms:created xsi:type="dcterms:W3CDTF">2024-02-28T04:56:00Z</dcterms:created>
  <dcterms:modified xsi:type="dcterms:W3CDTF">2024-12-12T09:13:00Z</dcterms:modified>
</cp:coreProperties>
</file>